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1000" w:lineRule="exact"/>
        <w:ind w:firstLine="0" w:firstLineChars="0"/>
        <w:jc w:val="center"/>
        <w:rPr>
          <w:b/>
          <w:sz w:val="72"/>
          <w:szCs w:val="72"/>
        </w:rPr>
      </w:pPr>
    </w:p>
    <w:p>
      <w:pPr>
        <w:pStyle w:val="5"/>
        <w:spacing w:line="1000" w:lineRule="exact"/>
        <w:ind w:firstLine="0" w:firstLineChars="0"/>
        <w:jc w:val="center"/>
        <w:rPr>
          <w:b/>
          <w:sz w:val="72"/>
          <w:szCs w:val="72"/>
        </w:rPr>
      </w:pPr>
    </w:p>
    <w:p>
      <w:pPr>
        <w:pStyle w:val="5"/>
        <w:spacing w:line="1000" w:lineRule="exact"/>
        <w:ind w:firstLine="0" w:firstLineChars="0"/>
        <w:jc w:val="center"/>
        <w:rPr>
          <w:b/>
          <w:sz w:val="72"/>
          <w:szCs w:val="72"/>
        </w:rPr>
      </w:pPr>
    </w:p>
    <w:p>
      <w:pPr>
        <w:pStyle w:val="5"/>
        <w:spacing w:line="1000" w:lineRule="exact"/>
        <w:ind w:firstLine="0" w:firstLineChars="0"/>
        <w:jc w:val="center"/>
        <w:rPr>
          <w:b/>
          <w:sz w:val="72"/>
          <w:szCs w:val="72"/>
        </w:rPr>
      </w:pPr>
      <w:r>
        <w:rPr>
          <w:rFonts w:hint="eastAsia"/>
          <w:b/>
          <w:sz w:val="72"/>
          <w:szCs w:val="72"/>
        </w:rPr>
        <w:t>福建工程学院校内磋商文件</w:t>
      </w:r>
    </w:p>
    <w:p>
      <w:pPr>
        <w:pStyle w:val="5"/>
        <w:jc w:val="center"/>
        <w:rPr>
          <w:rFonts w:ascii="隶书" w:eastAsia="隶书"/>
        </w:rPr>
      </w:pPr>
    </w:p>
    <w:p>
      <w:pPr>
        <w:pStyle w:val="5"/>
        <w:jc w:val="center"/>
        <w:rPr>
          <w:rFonts w:ascii="隶书" w:eastAsia="隶书"/>
        </w:rPr>
      </w:pPr>
    </w:p>
    <w:p>
      <w:pPr>
        <w:pStyle w:val="5"/>
        <w:jc w:val="center"/>
        <w:rPr>
          <w:rFonts w:ascii="隶书" w:eastAsia="隶书"/>
          <w:highlight w:val="none"/>
        </w:rPr>
      </w:pPr>
    </w:p>
    <w:p>
      <w:pPr>
        <w:pStyle w:val="6"/>
        <w:spacing w:line="700" w:lineRule="exact"/>
        <w:ind w:firstLine="1619" w:firstLineChars="448"/>
        <w:rPr>
          <w:rFonts w:hAnsi="宋体"/>
          <w:b/>
          <w:bCs/>
          <w:sz w:val="36"/>
          <w:szCs w:val="36"/>
          <w:highlight w:val="none"/>
          <w:u w:val="single"/>
        </w:rPr>
      </w:pPr>
      <w:r>
        <w:rPr>
          <w:rFonts w:hint="eastAsia" w:hAnsi="宋体"/>
          <w:b/>
          <w:bCs/>
          <w:sz w:val="36"/>
          <w:szCs w:val="36"/>
          <w:highlight w:val="none"/>
        </w:rPr>
        <w:t>项目编号：</w:t>
      </w:r>
      <w:r>
        <w:rPr>
          <w:rFonts w:hAnsi="宋体"/>
          <w:b/>
          <w:bCs/>
          <w:sz w:val="36"/>
          <w:szCs w:val="36"/>
          <w:highlight w:val="none"/>
          <w:u w:val="single"/>
        </w:rPr>
        <w:t>ZX20220</w:t>
      </w:r>
      <w:r>
        <w:rPr>
          <w:rFonts w:hint="eastAsia" w:hAnsi="宋体"/>
          <w:b/>
          <w:bCs/>
          <w:sz w:val="36"/>
          <w:szCs w:val="36"/>
          <w:highlight w:val="none"/>
          <w:u w:val="single"/>
        </w:rPr>
        <w:t xml:space="preserve">87-1                       </w:t>
      </w:r>
    </w:p>
    <w:p>
      <w:pPr>
        <w:spacing w:line="700" w:lineRule="exact"/>
        <w:ind w:left="3579" w:leftChars="766" w:hanging="1970" w:hangingChars="545"/>
        <w:rPr>
          <w:rFonts w:ascii="宋体" w:hAnsi="宋体"/>
          <w:b/>
          <w:bCs/>
          <w:sz w:val="36"/>
          <w:szCs w:val="36"/>
          <w:u w:val="single"/>
        </w:rPr>
      </w:pPr>
      <w:r>
        <w:rPr>
          <w:rFonts w:hint="eastAsia" w:ascii="宋体" w:hAnsi="宋体"/>
          <w:b/>
          <w:bCs/>
          <w:sz w:val="36"/>
          <w:szCs w:val="36"/>
          <w:highlight w:val="none"/>
        </w:rPr>
        <w:t xml:space="preserve">项目名称： </w:t>
      </w:r>
      <w:r>
        <w:rPr>
          <w:rFonts w:hint="eastAsia" w:ascii="宋体" w:hAnsi="宋体"/>
          <w:b/>
          <w:bCs/>
          <w:sz w:val="36"/>
          <w:szCs w:val="36"/>
          <w:highlight w:val="none"/>
          <w:u w:val="single"/>
        </w:rPr>
        <w:t xml:space="preserve">福建工程学院内部控制评价与风险评估采购项目 </w:t>
      </w:r>
      <w:r>
        <w:rPr>
          <w:rFonts w:hint="eastAsia" w:ascii="宋体" w:hAnsi="宋体"/>
          <w:b/>
          <w:bCs/>
          <w:sz w:val="36"/>
          <w:szCs w:val="36"/>
          <w:u w:val="single"/>
        </w:rPr>
        <w:t xml:space="preserve">                 </w:t>
      </w:r>
    </w:p>
    <w:p>
      <w:pPr>
        <w:pStyle w:val="6"/>
        <w:spacing w:line="600" w:lineRule="exact"/>
        <w:ind w:firstLine="1608" w:firstLineChars="445"/>
        <w:rPr>
          <w:rFonts w:hAnsi="宋体"/>
          <w:b/>
          <w:sz w:val="36"/>
          <w:szCs w:val="36"/>
          <w:u w:val="single"/>
        </w:rPr>
      </w:pPr>
      <w:bookmarkStart w:id="0" w:name="_Toc308986446"/>
      <w:r>
        <w:rPr>
          <w:rFonts w:hint="eastAsia" w:hAnsi="宋体"/>
          <w:b/>
          <w:sz w:val="36"/>
          <w:szCs w:val="36"/>
        </w:rPr>
        <w:t>采 购 人：</w:t>
      </w:r>
      <w:bookmarkEnd w:id="0"/>
      <w:r>
        <w:rPr>
          <w:rFonts w:hint="eastAsia" w:hAnsi="宋体"/>
          <w:b/>
          <w:sz w:val="36"/>
          <w:szCs w:val="36"/>
          <w:u w:val="single"/>
        </w:rPr>
        <w:t xml:space="preserve"> 福建工程学院                       </w:t>
      </w:r>
    </w:p>
    <w:p>
      <w:pPr>
        <w:pStyle w:val="6"/>
        <w:spacing w:line="0" w:lineRule="atLeast"/>
        <w:jc w:val="center"/>
        <w:rPr>
          <w:rFonts w:hAnsi="宋体"/>
          <w:b/>
          <w:sz w:val="36"/>
          <w:szCs w:val="36"/>
          <w:u w:val="single"/>
        </w:rPr>
      </w:pPr>
    </w:p>
    <w:p>
      <w:pPr>
        <w:pStyle w:val="6"/>
        <w:spacing w:line="0" w:lineRule="atLeast"/>
        <w:jc w:val="center"/>
        <w:rPr>
          <w:rFonts w:hAnsi="宋体"/>
          <w:b/>
          <w:sz w:val="36"/>
          <w:szCs w:val="36"/>
          <w:u w:val="single"/>
        </w:rPr>
      </w:pPr>
    </w:p>
    <w:p>
      <w:pPr>
        <w:pStyle w:val="6"/>
        <w:spacing w:line="0" w:lineRule="atLeast"/>
        <w:jc w:val="center"/>
        <w:rPr>
          <w:rFonts w:hAnsi="宋体"/>
          <w:b/>
          <w:sz w:val="36"/>
          <w:szCs w:val="36"/>
          <w:u w:val="single"/>
        </w:rPr>
      </w:pPr>
    </w:p>
    <w:p>
      <w:pPr>
        <w:pStyle w:val="2"/>
        <w:spacing w:line="700" w:lineRule="exact"/>
        <w:ind w:firstLine="0"/>
        <w:jc w:val="center"/>
        <w:rPr>
          <w:rFonts w:ascii="宋体" w:hAnsi="宋体"/>
          <w:b/>
          <w:sz w:val="36"/>
          <w:szCs w:val="36"/>
        </w:rPr>
      </w:pPr>
      <w:r>
        <w:rPr>
          <w:rFonts w:hint="eastAsia" w:ascii="宋体" w:hAnsi="宋体"/>
          <w:b/>
          <w:sz w:val="36"/>
          <w:szCs w:val="36"/>
        </w:rPr>
        <w:t>二〇二三 年二月</w:t>
      </w:r>
    </w:p>
    <w:p>
      <w:pPr>
        <w:spacing w:line="500" w:lineRule="exact"/>
        <w:rPr>
          <w:rFonts w:ascii="宋体" w:hAnsi="宋体"/>
          <w:b/>
          <w:sz w:val="48"/>
          <w:u w:val="single"/>
        </w:rPr>
      </w:pPr>
    </w:p>
    <w:p>
      <w:pPr>
        <w:snapToGrid w:val="0"/>
        <w:spacing w:line="500" w:lineRule="atLeast"/>
        <w:ind w:firstLine="562" w:firstLineChars="200"/>
        <w:rPr>
          <w:rFonts w:ascii="宋体" w:hAnsi="宋体"/>
          <w:b/>
          <w:bCs/>
          <w:sz w:val="28"/>
        </w:rPr>
      </w:pPr>
      <w:r>
        <w:rPr>
          <w:rFonts w:hint="eastAsia" w:ascii="宋体" w:hAnsi="宋体"/>
          <w:b/>
          <w:sz w:val="28"/>
        </w:rPr>
        <w:t>地    址：</w:t>
      </w:r>
      <w:r>
        <w:rPr>
          <w:rFonts w:hint="eastAsia" w:ascii="宋体" w:hAnsi="宋体"/>
          <w:b/>
          <w:sz w:val="28"/>
          <w:szCs w:val="28"/>
        </w:rPr>
        <w:t xml:space="preserve">福建省福州市大学新区学府南路69号 </w:t>
      </w:r>
    </w:p>
    <w:p>
      <w:pPr>
        <w:snapToGrid w:val="0"/>
        <w:spacing w:line="500" w:lineRule="atLeast"/>
        <w:ind w:firstLine="562" w:firstLineChars="200"/>
        <w:rPr>
          <w:rFonts w:ascii="宋体" w:hAnsi="宋体"/>
          <w:b/>
          <w:sz w:val="28"/>
        </w:rPr>
      </w:pPr>
      <w:r>
        <w:rPr>
          <w:rFonts w:hint="eastAsia" w:ascii="宋体" w:hAnsi="宋体"/>
          <w:b/>
          <w:sz w:val="28"/>
        </w:rPr>
        <w:t>电    话：22865066                      邮  编：350118</w:t>
      </w:r>
    </w:p>
    <w:p>
      <w:pPr>
        <w:snapToGrid w:val="0"/>
        <w:spacing w:line="500" w:lineRule="atLeast"/>
        <w:ind w:firstLine="562" w:firstLineChars="200"/>
        <w:rPr>
          <w:rFonts w:ascii="宋体" w:hAnsi="宋体"/>
          <w:b/>
          <w:sz w:val="28"/>
        </w:rPr>
      </w:pPr>
      <w:r>
        <w:rPr>
          <w:rFonts w:hint="eastAsia" w:ascii="宋体" w:hAnsi="宋体"/>
          <w:b/>
          <w:sz w:val="28"/>
        </w:rPr>
        <w:t>联 系 人：宋老师</w:t>
      </w:r>
    </w:p>
    <w:p>
      <w:pPr>
        <w:pStyle w:val="24"/>
        <w:spacing w:line="240" w:lineRule="atLeast"/>
        <w:ind w:left="181"/>
        <w:jc w:val="center"/>
        <w:outlineLvl w:val="0"/>
        <w:rPr>
          <w:rFonts w:hAnsi="宋体"/>
          <w:b/>
          <w:color w:val="auto"/>
          <w:sz w:val="44"/>
        </w:rPr>
      </w:pPr>
      <w:r>
        <w:rPr>
          <w:rFonts w:hAnsi="宋体"/>
          <w:b/>
          <w:bCs/>
          <w:sz w:val="44"/>
        </w:rPr>
        <w:br w:type="page"/>
      </w:r>
    </w:p>
    <w:p>
      <w:pPr>
        <w:pStyle w:val="24"/>
        <w:spacing w:line="240" w:lineRule="atLeast"/>
        <w:ind w:left="181"/>
        <w:jc w:val="center"/>
        <w:outlineLvl w:val="0"/>
        <w:rPr>
          <w:rFonts w:hAnsi="宋体"/>
          <w:b/>
          <w:color w:val="auto"/>
          <w:sz w:val="44"/>
        </w:rPr>
      </w:pPr>
      <w:r>
        <w:rPr>
          <w:rFonts w:hint="eastAsia" w:hAnsi="宋体"/>
          <w:b/>
          <w:color w:val="auto"/>
          <w:sz w:val="44"/>
        </w:rPr>
        <w:t>第一部分  磋商公告</w:t>
      </w:r>
    </w:p>
    <w:p>
      <w:pPr>
        <w:pStyle w:val="27"/>
        <w:spacing w:line="400" w:lineRule="exact"/>
        <w:ind w:left="-2" w:leftChars="-1" w:firstLine="480"/>
        <w:rPr>
          <w:rFonts w:ascii="宋体" w:hAnsi="宋体"/>
          <w:sz w:val="24"/>
          <w:szCs w:val="24"/>
        </w:rPr>
      </w:pPr>
      <w:r>
        <w:rPr>
          <w:rFonts w:hint="eastAsia" w:ascii="宋体" w:hAnsi="宋体"/>
          <w:sz w:val="24"/>
          <w:szCs w:val="24"/>
        </w:rPr>
        <w:t>福建工程学院对</w:t>
      </w:r>
      <w:r>
        <w:rPr>
          <w:rFonts w:hint="eastAsia" w:ascii="宋体" w:hAnsi="宋体" w:cs="仿宋"/>
          <w:sz w:val="24"/>
          <w:szCs w:val="24"/>
        </w:rPr>
        <w:t>内部控制评价与风险评估</w:t>
      </w:r>
      <w:r>
        <w:rPr>
          <w:rFonts w:hint="eastAsia" w:ascii="宋体" w:hAnsi="宋体"/>
          <w:sz w:val="24"/>
          <w:szCs w:val="24"/>
        </w:rPr>
        <w:t>采购项目进行校内磋商采购，现邀请合格的投标单位前来密封投标。</w:t>
      </w:r>
    </w:p>
    <w:p>
      <w:pPr>
        <w:spacing w:line="400" w:lineRule="exact"/>
        <w:ind w:firstLine="480" w:firstLineChars="200"/>
        <w:rPr>
          <w:rFonts w:ascii="宋体" w:hAnsi="宋体"/>
          <w:sz w:val="24"/>
          <w:szCs w:val="24"/>
        </w:rPr>
      </w:pPr>
      <w:r>
        <w:rPr>
          <w:rFonts w:hint="eastAsia" w:ascii="宋体" w:hAnsi="宋体"/>
          <w:sz w:val="24"/>
          <w:szCs w:val="24"/>
        </w:rPr>
        <w:t>1、项目名称：福建工程学院</w:t>
      </w:r>
      <w:r>
        <w:rPr>
          <w:rFonts w:hint="eastAsia" w:ascii="宋体" w:hAnsi="宋体" w:cs="仿宋"/>
          <w:sz w:val="24"/>
          <w:szCs w:val="24"/>
        </w:rPr>
        <w:t>内部控制评价与风险评估</w:t>
      </w:r>
    </w:p>
    <w:p>
      <w:pPr>
        <w:spacing w:line="400" w:lineRule="exact"/>
        <w:ind w:firstLine="480" w:firstLineChars="200"/>
        <w:rPr>
          <w:rFonts w:ascii="宋体" w:hAnsi="宋体"/>
          <w:sz w:val="24"/>
          <w:szCs w:val="24"/>
        </w:rPr>
      </w:pPr>
      <w:r>
        <w:rPr>
          <w:rFonts w:hint="eastAsia" w:ascii="宋体" w:hAnsi="宋体"/>
          <w:sz w:val="24"/>
          <w:szCs w:val="24"/>
        </w:rPr>
        <w:t>2、招标编号：</w:t>
      </w:r>
      <w:r>
        <w:rPr>
          <w:rFonts w:asciiTheme="minorEastAsia" w:hAnsiTheme="minorEastAsia" w:eastAsiaTheme="minorEastAsia"/>
          <w:bCs/>
          <w:sz w:val="24"/>
          <w:szCs w:val="24"/>
        </w:rPr>
        <w:t>ZX20220</w:t>
      </w:r>
      <w:r>
        <w:rPr>
          <w:rFonts w:hint="eastAsia" w:asciiTheme="minorEastAsia" w:hAnsiTheme="minorEastAsia" w:eastAsiaTheme="minorEastAsia"/>
          <w:bCs/>
          <w:sz w:val="24"/>
          <w:szCs w:val="24"/>
        </w:rPr>
        <w:t>87-1</w:t>
      </w:r>
    </w:p>
    <w:p>
      <w:pPr>
        <w:spacing w:line="400" w:lineRule="exact"/>
        <w:ind w:firstLine="480" w:firstLineChars="200"/>
        <w:rPr>
          <w:rFonts w:ascii="宋体" w:hAnsi="宋体"/>
          <w:sz w:val="24"/>
          <w:szCs w:val="24"/>
        </w:rPr>
      </w:pPr>
      <w:r>
        <w:rPr>
          <w:rFonts w:hint="eastAsia" w:ascii="宋体" w:hAnsi="宋体"/>
          <w:sz w:val="24"/>
          <w:szCs w:val="24"/>
        </w:rPr>
        <w:t>3、招标内容：</w:t>
      </w:r>
      <w:r>
        <w:rPr>
          <w:rFonts w:hint="eastAsia" w:ascii="宋体" w:hAnsi="宋体"/>
          <w:sz w:val="24"/>
        </w:rPr>
        <w:t>详见“磋商项目一览表及第三部分磋商内容及要求”</w:t>
      </w:r>
    </w:p>
    <w:p>
      <w:pPr>
        <w:spacing w:line="400" w:lineRule="exact"/>
        <w:ind w:firstLine="480" w:firstLineChars="200"/>
        <w:rPr>
          <w:rFonts w:ascii="宋体" w:hAnsi="宋体"/>
          <w:sz w:val="24"/>
          <w:szCs w:val="24"/>
        </w:rPr>
      </w:pPr>
      <w:r>
        <w:rPr>
          <w:rFonts w:hint="eastAsia" w:ascii="宋体" w:hAnsi="宋体"/>
          <w:sz w:val="24"/>
          <w:szCs w:val="24"/>
        </w:rPr>
        <w:t>4、供应商的资格要求：</w:t>
      </w:r>
    </w:p>
    <w:p>
      <w:pPr>
        <w:spacing w:line="420" w:lineRule="exact"/>
        <w:ind w:firstLine="482"/>
        <w:rPr>
          <w:rFonts w:ascii="仿宋" w:hAnsi="仿宋" w:eastAsia="仿宋"/>
          <w:color w:val="000000" w:themeColor="text1"/>
          <w:kern w:val="0"/>
          <w:sz w:val="24"/>
          <w:szCs w:val="24"/>
        </w:rPr>
      </w:pPr>
      <w:r>
        <w:rPr>
          <w:rFonts w:ascii="仿宋" w:hAnsi="仿宋" w:eastAsia="仿宋" w:cs="仿宋"/>
          <w:color w:val="000000" w:themeColor="text1"/>
          <w:kern w:val="0"/>
          <w:sz w:val="24"/>
          <w:szCs w:val="24"/>
        </w:rPr>
        <w:t xml:space="preserve">(1) </w:t>
      </w:r>
      <w:r>
        <w:rPr>
          <w:rFonts w:hint="eastAsia" w:ascii="仿宋" w:hAnsi="仿宋" w:eastAsia="仿宋" w:cs="仿宋"/>
          <w:color w:val="000000" w:themeColor="text1"/>
          <w:kern w:val="0"/>
          <w:sz w:val="24"/>
          <w:szCs w:val="24"/>
        </w:rPr>
        <w:t>凡有能力提供本磋商文件所述服务的，具有法人资格的境内企业或境内企业分支机构均可能成为合格的报价供应商，若分支机构参加磋商的应取得总</w:t>
      </w:r>
      <w:r>
        <w:rPr>
          <w:rFonts w:ascii="仿宋" w:hAnsi="仿宋" w:eastAsia="仿宋" w:cs="仿宋"/>
          <w:color w:val="000000" w:themeColor="text1"/>
          <w:kern w:val="0"/>
          <w:sz w:val="24"/>
          <w:szCs w:val="24"/>
        </w:rPr>
        <w:t>(</w:t>
      </w:r>
      <w:r>
        <w:rPr>
          <w:rFonts w:hint="eastAsia" w:ascii="仿宋" w:hAnsi="仿宋" w:eastAsia="仿宋" w:cs="仿宋"/>
          <w:color w:val="000000" w:themeColor="text1"/>
          <w:kern w:val="0"/>
          <w:sz w:val="24"/>
          <w:szCs w:val="24"/>
        </w:rPr>
        <w:t>集团</w:t>
      </w:r>
      <w:r>
        <w:rPr>
          <w:rFonts w:ascii="仿宋" w:hAnsi="仿宋" w:eastAsia="仿宋" w:cs="仿宋"/>
          <w:color w:val="000000" w:themeColor="text1"/>
          <w:kern w:val="0"/>
          <w:sz w:val="24"/>
          <w:szCs w:val="24"/>
        </w:rPr>
        <w:t>)</w:t>
      </w:r>
      <w:r>
        <w:rPr>
          <w:rFonts w:hint="eastAsia" w:ascii="仿宋" w:hAnsi="仿宋" w:eastAsia="仿宋" w:cs="仿宋"/>
          <w:color w:val="000000" w:themeColor="text1"/>
          <w:kern w:val="0"/>
          <w:sz w:val="24"/>
          <w:szCs w:val="24"/>
        </w:rPr>
        <w:t>公司的有效授权；需提交以下资质证明文件：</w:t>
      </w:r>
    </w:p>
    <w:p>
      <w:pPr>
        <w:numPr>
          <w:ilvl w:val="0"/>
          <w:numId w:val="1"/>
        </w:numPr>
        <w:spacing w:line="420" w:lineRule="exact"/>
        <w:ind w:left="1081" w:leftChars="273" w:hanging="508" w:hangingChars="211"/>
        <w:rPr>
          <w:rFonts w:ascii="仿宋" w:hAnsi="仿宋" w:eastAsia="仿宋"/>
          <w:b/>
          <w:bCs/>
          <w:color w:val="000000" w:themeColor="text1"/>
          <w:kern w:val="0"/>
          <w:sz w:val="24"/>
          <w:szCs w:val="24"/>
        </w:rPr>
      </w:pPr>
      <w:r>
        <w:rPr>
          <w:rFonts w:hint="eastAsia" w:ascii="仿宋" w:hAnsi="仿宋" w:eastAsia="仿宋" w:cs="仿宋"/>
          <w:b/>
          <w:bCs/>
          <w:color w:val="000000" w:themeColor="text1"/>
          <w:kern w:val="0"/>
          <w:sz w:val="24"/>
          <w:szCs w:val="24"/>
        </w:rPr>
        <w:t>供应商的合格营业执照副本复印件（或三证合一复印件）；</w:t>
      </w:r>
    </w:p>
    <w:p>
      <w:pPr>
        <w:numPr>
          <w:ilvl w:val="0"/>
          <w:numId w:val="1"/>
        </w:numPr>
        <w:spacing w:line="420" w:lineRule="exact"/>
        <w:ind w:left="1081" w:leftChars="273" w:hanging="508" w:hangingChars="211"/>
        <w:rPr>
          <w:rFonts w:ascii="仿宋" w:hAnsi="仿宋" w:eastAsia="仿宋"/>
          <w:b/>
          <w:bCs/>
          <w:color w:val="000000" w:themeColor="text1"/>
          <w:kern w:val="0"/>
          <w:sz w:val="24"/>
          <w:szCs w:val="24"/>
        </w:rPr>
      </w:pPr>
      <w:r>
        <w:rPr>
          <w:rFonts w:hint="eastAsia" w:ascii="仿宋" w:hAnsi="仿宋" w:eastAsia="仿宋" w:cs="仿宋"/>
          <w:b/>
          <w:bCs/>
          <w:color w:val="000000" w:themeColor="text1"/>
          <w:kern w:val="0"/>
          <w:sz w:val="24"/>
          <w:szCs w:val="24"/>
        </w:rPr>
        <w:t>供应商税务登记证副本复印件（或三证合一复印件）；</w:t>
      </w:r>
    </w:p>
    <w:p>
      <w:pPr>
        <w:numPr>
          <w:ilvl w:val="0"/>
          <w:numId w:val="1"/>
        </w:numPr>
        <w:spacing w:line="420" w:lineRule="exact"/>
        <w:ind w:left="1081" w:leftChars="273" w:hanging="508" w:hangingChars="211"/>
        <w:rPr>
          <w:rFonts w:ascii="仿宋" w:hAnsi="仿宋" w:eastAsia="仿宋"/>
          <w:b/>
          <w:bCs/>
          <w:color w:val="000000" w:themeColor="text1"/>
          <w:kern w:val="0"/>
          <w:sz w:val="24"/>
          <w:szCs w:val="24"/>
        </w:rPr>
      </w:pPr>
      <w:r>
        <w:rPr>
          <w:rFonts w:hint="eastAsia" w:ascii="仿宋" w:hAnsi="仿宋" w:eastAsia="仿宋" w:cs="仿宋"/>
          <w:b/>
          <w:bCs/>
          <w:color w:val="000000" w:themeColor="text1"/>
          <w:kern w:val="0"/>
          <w:sz w:val="24"/>
          <w:szCs w:val="24"/>
        </w:rPr>
        <w:t>有效授权书（函）复印件（若有）；</w:t>
      </w:r>
    </w:p>
    <w:p>
      <w:pPr>
        <w:numPr>
          <w:ilvl w:val="0"/>
          <w:numId w:val="1"/>
        </w:numPr>
        <w:spacing w:line="420" w:lineRule="exact"/>
        <w:ind w:left="1081" w:leftChars="273" w:hanging="508" w:hangingChars="211"/>
        <w:rPr>
          <w:rFonts w:ascii="仿宋" w:hAnsi="仿宋" w:eastAsia="仿宋"/>
          <w:b/>
          <w:bCs/>
          <w:color w:val="000000" w:themeColor="text1"/>
          <w:kern w:val="0"/>
          <w:sz w:val="24"/>
          <w:szCs w:val="24"/>
        </w:rPr>
      </w:pPr>
      <w:r>
        <w:rPr>
          <w:rFonts w:hint="eastAsia" w:ascii="仿宋" w:hAnsi="仿宋" w:eastAsia="仿宋" w:cs="仿宋"/>
          <w:b/>
          <w:bCs/>
          <w:color w:val="000000" w:themeColor="text1"/>
          <w:kern w:val="0"/>
          <w:sz w:val="24"/>
          <w:szCs w:val="24"/>
        </w:rPr>
        <w:t>法定代表人身份证正反面复印件；</w:t>
      </w:r>
    </w:p>
    <w:p>
      <w:pPr>
        <w:numPr>
          <w:ilvl w:val="0"/>
          <w:numId w:val="1"/>
        </w:numPr>
        <w:spacing w:line="420" w:lineRule="exact"/>
        <w:ind w:left="1081" w:leftChars="273" w:hanging="508" w:hangingChars="211"/>
        <w:rPr>
          <w:rFonts w:ascii="仿宋" w:hAnsi="仿宋" w:eastAsia="仿宋"/>
          <w:b/>
          <w:bCs/>
          <w:color w:val="000000" w:themeColor="text1"/>
          <w:kern w:val="0"/>
          <w:sz w:val="24"/>
          <w:szCs w:val="24"/>
        </w:rPr>
      </w:pPr>
      <w:r>
        <w:rPr>
          <w:rFonts w:hint="eastAsia" w:ascii="仿宋" w:hAnsi="仿宋" w:eastAsia="仿宋" w:cs="仿宋"/>
          <w:b/>
          <w:bCs/>
          <w:color w:val="000000" w:themeColor="text1"/>
          <w:kern w:val="0"/>
          <w:sz w:val="24"/>
          <w:szCs w:val="24"/>
        </w:rPr>
        <w:t>投标代表身份证正反面复印件；</w:t>
      </w:r>
    </w:p>
    <w:p>
      <w:pPr>
        <w:numPr>
          <w:ilvl w:val="0"/>
          <w:numId w:val="1"/>
        </w:numPr>
        <w:spacing w:line="420" w:lineRule="exact"/>
        <w:ind w:left="1081" w:leftChars="273" w:hanging="508" w:hangingChars="211"/>
        <w:rPr>
          <w:rFonts w:ascii="仿宋" w:hAnsi="仿宋" w:eastAsia="仿宋"/>
          <w:b/>
          <w:bCs/>
          <w:color w:val="000000" w:themeColor="text1"/>
          <w:kern w:val="0"/>
          <w:sz w:val="24"/>
          <w:szCs w:val="24"/>
        </w:rPr>
      </w:pPr>
      <w:r>
        <w:rPr>
          <w:rFonts w:hint="eastAsia" w:ascii="仿宋" w:hAnsi="仿宋" w:eastAsia="仿宋" w:cs="仿宋"/>
          <w:b/>
          <w:bCs/>
          <w:color w:val="000000" w:themeColor="text1"/>
          <w:kern w:val="0"/>
          <w:sz w:val="24"/>
          <w:szCs w:val="24"/>
        </w:rPr>
        <w:t>法定代表人授权书原件</w:t>
      </w:r>
      <w:r>
        <w:rPr>
          <w:rFonts w:ascii="仿宋" w:hAnsi="仿宋" w:eastAsia="仿宋" w:cs="仿宋"/>
          <w:b/>
          <w:bCs/>
          <w:color w:val="000000" w:themeColor="text1"/>
          <w:kern w:val="0"/>
          <w:sz w:val="24"/>
          <w:szCs w:val="24"/>
        </w:rPr>
        <w:t>(</w:t>
      </w:r>
      <w:r>
        <w:rPr>
          <w:rFonts w:hint="eastAsia" w:ascii="仿宋" w:hAnsi="仿宋" w:eastAsia="仿宋" w:cs="仿宋"/>
          <w:b/>
          <w:bCs/>
          <w:color w:val="000000" w:themeColor="text1"/>
          <w:kern w:val="0"/>
          <w:sz w:val="24"/>
          <w:szCs w:val="24"/>
        </w:rPr>
        <w:t>格式详见第五章“响应文件格式”，投标代表是法定代表人无需</w:t>
      </w:r>
      <w:r>
        <w:rPr>
          <w:rFonts w:ascii="仿宋" w:hAnsi="仿宋" w:eastAsia="仿宋" w:cs="仿宋"/>
          <w:b/>
          <w:bCs/>
          <w:color w:val="000000" w:themeColor="text1"/>
          <w:kern w:val="0"/>
          <w:sz w:val="24"/>
          <w:szCs w:val="24"/>
        </w:rPr>
        <w:t>)</w:t>
      </w:r>
      <w:r>
        <w:rPr>
          <w:rFonts w:hint="eastAsia" w:ascii="仿宋" w:hAnsi="仿宋" w:eastAsia="仿宋" w:cs="仿宋"/>
          <w:b/>
          <w:bCs/>
          <w:color w:val="000000" w:themeColor="text1"/>
          <w:kern w:val="0"/>
          <w:sz w:val="24"/>
          <w:szCs w:val="24"/>
        </w:rPr>
        <w:t>；</w:t>
      </w:r>
    </w:p>
    <w:p>
      <w:pPr>
        <w:spacing w:line="420" w:lineRule="exact"/>
        <w:ind w:firstLine="360" w:firstLineChars="150"/>
        <w:rPr>
          <w:rFonts w:ascii="仿宋_GB2312" w:hAnsi="宋体" w:eastAsia="仿宋_GB2312"/>
          <w:color w:val="000000" w:themeColor="text1"/>
        </w:rPr>
      </w:pPr>
      <w:r>
        <w:rPr>
          <w:rFonts w:hint="eastAsia" w:ascii="仿宋" w:hAnsi="仿宋" w:eastAsia="仿宋" w:cs="仿宋"/>
          <w:color w:val="000000" w:themeColor="text1"/>
          <w:kern w:val="0"/>
          <w:sz w:val="24"/>
          <w:szCs w:val="24"/>
        </w:rPr>
        <w:t>（</w:t>
      </w:r>
      <w:r>
        <w:rPr>
          <w:rFonts w:ascii="仿宋" w:hAnsi="仿宋" w:eastAsia="仿宋" w:cs="仿宋"/>
          <w:color w:val="000000" w:themeColor="text1"/>
          <w:kern w:val="0"/>
          <w:sz w:val="24"/>
          <w:szCs w:val="24"/>
        </w:rPr>
        <w:t>2</w:t>
      </w:r>
      <w:r>
        <w:rPr>
          <w:rFonts w:hint="eastAsia" w:ascii="仿宋" w:hAnsi="仿宋" w:eastAsia="仿宋" w:cs="仿宋"/>
          <w:color w:val="000000" w:themeColor="text1"/>
          <w:kern w:val="0"/>
          <w:sz w:val="24"/>
          <w:szCs w:val="24"/>
        </w:rPr>
        <w:t>）供应商需提供财务状况报告，依法缴纳税收和社会保障资金的相关材料：</w:t>
      </w:r>
    </w:p>
    <w:p>
      <w:pPr>
        <w:numPr>
          <w:ilvl w:val="0"/>
          <w:numId w:val="1"/>
        </w:numPr>
        <w:spacing w:line="420" w:lineRule="exact"/>
        <w:ind w:left="1081" w:leftChars="273" w:hanging="508" w:hangingChars="211"/>
        <w:rPr>
          <w:rFonts w:ascii="仿宋" w:hAnsi="仿宋" w:eastAsia="仿宋"/>
          <w:b/>
          <w:bCs/>
          <w:color w:val="000000" w:themeColor="text1"/>
          <w:kern w:val="0"/>
          <w:sz w:val="24"/>
          <w:szCs w:val="24"/>
        </w:rPr>
      </w:pPr>
      <w:r>
        <w:rPr>
          <w:rFonts w:hint="eastAsia" w:ascii="仿宋" w:hAnsi="仿宋" w:eastAsia="仿宋" w:cs="仿宋"/>
          <w:b/>
          <w:bCs/>
          <w:color w:val="000000" w:themeColor="text1"/>
          <w:kern w:val="0"/>
          <w:sz w:val="24"/>
          <w:szCs w:val="24"/>
        </w:rPr>
        <w:t>财务状况报告：供应商须提供上一年度的财务报表或审计报告；</w:t>
      </w:r>
    </w:p>
    <w:p>
      <w:pPr>
        <w:numPr>
          <w:ilvl w:val="0"/>
          <w:numId w:val="1"/>
        </w:numPr>
        <w:spacing w:line="420" w:lineRule="exact"/>
        <w:ind w:left="1081" w:leftChars="273" w:hanging="508" w:hangingChars="211"/>
        <w:rPr>
          <w:rFonts w:ascii="仿宋" w:hAnsi="仿宋" w:eastAsia="仿宋"/>
          <w:b/>
          <w:bCs/>
          <w:color w:val="000000" w:themeColor="text1"/>
          <w:kern w:val="0"/>
          <w:sz w:val="24"/>
          <w:szCs w:val="24"/>
        </w:rPr>
      </w:pPr>
      <w:r>
        <w:rPr>
          <w:rFonts w:ascii="仿宋" w:hAnsi="仿宋" w:eastAsia="仿宋" w:cs="仿宋"/>
          <w:b/>
          <w:bCs/>
          <w:color w:val="000000" w:themeColor="text1"/>
          <w:kern w:val="0"/>
          <w:sz w:val="24"/>
          <w:szCs w:val="24"/>
        </w:rPr>
        <w:t>20</w:t>
      </w:r>
      <w:r>
        <w:rPr>
          <w:rFonts w:hint="eastAsia" w:ascii="仿宋" w:hAnsi="仿宋" w:eastAsia="仿宋" w:cs="仿宋"/>
          <w:b/>
          <w:bCs/>
          <w:color w:val="000000" w:themeColor="text1"/>
          <w:kern w:val="0"/>
          <w:sz w:val="24"/>
          <w:szCs w:val="24"/>
        </w:rPr>
        <w:t>22年</w:t>
      </w:r>
      <w:r>
        <w:rPr>
          <w:rFonts w:ascii="仿宋" w:hAnsi="仿宋" w:eastAsia="仿宋" w:cs="仿宋"/>
          <w:b/>
          <w:bCs/>
          <w:color w:val="000000" w:themeColor="text1"/>
          <w:kern w:val="0"/>
          <w:sz w:val="24"/>
          <w:szCs w:val="24"/>
        </w:rPr>
        <w:t>1</w:t>
      </w:r>
      <w:r>
        <w:rPr>
          <w:rFonts w:hint="eastAsia" w:ascii="仿宋" w:hAnsi="仿宋" w:eastAsia="仿宋" w:cs="仿宋"/>
          <w:b/>
          <w:bCs/>
          <w:color w:val="000000" w:themeColor="text1"/>
          <w:kern w:val="0"/>
          <w:sz w:val="24"/>
          <w:szCs w:val="24"/>
        </w:rPr>
        <w:t>月至今任意一个月的依法缴纳税收的证明材料；</w:t>
      </w:r>
    </w:p>
    <w:p>
      <w:pPr>
        <w:numPr>
          <w:ilvl w:val="0"/>
          <w:numId w:val="1"/>
        </w:numPr>
        <w:spacing w:line="420" w:lineRule="exact"/>
        <w:ind w:left="1081" w:leftChars="273" w:hanging="508" w:hangingChars="211"/>
        <w:rPr>
          <w:rFonts w:ascii="仿宋" w:hAnsi="仿宋" w:eastAsia="仿宋"/>
          <w:b/>
          <w:bCs/>
          <w:color w:val="000000" w:themeColor="text1"/>
          <w:kern w:val="0"/>
          <w:sz w:val="24"/>
          <w:szCs w:val="24"/>
        </w:rPr>
      </w:pPr>
      <w:r>
        <w:rPr>
          <w:rFonts w:ascii="仿宋" w:hAnsi="仿宋" w:eastAsia="仿宋" w:cs="仿宋"/>
          <w:b/>
          <w:bCs/>
          <w:color w:val="000000" w:themeColor="text1"/>
          <w:kern w:val="0"/>
          <w:sz w:val="24"/>
          <w:szCs w:val="24"/>
        </w:rPr>
        <w:t>20</w:t>
      </w:r>
      <w:r>
        <w:rPr>
          <w:rFonts w:hint="eastAsia" w:ascii="仿宋" w:hAnsi="仿宋" w:eastAsia="仿宋" w:cs="仿宋"/>
          <w:b/>
          <w:bCs/>
          <w:color w:val="000000" w:themeColor="text1"/>
          <w:kern w:val="0"/>
          <w:sz w:val="24"/>
          <w:szCs w:val="24"/>
        </w:rPr>
        <w:t>22年</w:t>
      </w:r>
      <w:r>
        <w:rPr>
          <w:rFonts w:ascii="仿宋" w:hAnsi="仿宋" w:eastAsia="仿宋" w:cs="仿宋"/>
          <w:b/>
          <w:bCs/>
          <w:color w:val="000000" w:themeColor="text1"/>
          <w:kern w:val="0"/>
          <w:sz w:val="24"/>
          <w:szCs w:val="24"/>
        </w:rPr>
        <w:t>1</w:t>
      </w:r>
      <w:r>
        <w:rPr>
          <w:rFonts w:hint="eastAsia" w:ascii="仿宋" w:hAnsi="仿宋" w:eastAsia="仿宋" w:cs="仿宋"/>
          <w:b/>
          <w:bCs/>
          <w:color w:val="000000" w:themeColor="text1"/>
          <w:kern w:val="0"/>
          <w:sz w:val="24"/>
          <w:szCs w:val="24"/>
        </w:rPr>
        <w:t>月至今任意一个月的依法缴纳社会保险费证明材料；</w:t>
      </w:r>
    </w:p>
    <w:p>
      <w:pPr>
        <w:spacing w:line="420" w:lineRule="exact"/>
        <w:ind w:left="573"/>
        <w:rPr>
          <w:rFonts w:ascii="仿宋" w:hAnsi="仿宋" w:eastAsia="仿宋"/>
          <w:b/>
          <w:bCs/>
          <w:color w:val="000000" w:themeColor="text1"/>
          <w:kern w:val="0"/>
          <w:sz w:val="24"/>
          <w:szCs w:val="24"/>
        </w:rPr>
      </w:pPr>
      <w:r>
        <w:rPr>
          <w:rFonts w:hint="eastAsia" w:ascii="仿宋" w:hAnsi="仿宋" w:eastAsia="仿宋" w:cs="仿宋"/>
          <w:b/>
          <w:bCs/>
          <w:color w:val="000000" w:themeColor="text1"/>
          <w:kern w:val="0"/>
          <w:sz w:val="24"/>
          <w:szCs w:val="24"/>
        </w:rPr>
        <w:t>（注：投标方若为依法免税或不需要缴纳社会保障资金的供应商，应提供相应文件证明其依法免税或不需要缴纳社会保障资金。）</w:t>
      </w:r>
    </w:p>
    <w:p>
      <w:pPr>
        <w:numPr>
          <w:ilvl w:val="0"/>
          <w:numId w:val="2"/>
        </w:numPr>
        <w:spacing w:line="420" w:lineRule="exact"/>
        <w:ind w:firstLine="480"/>
        <w:rPr>
          <w:rFonts w:ascii="仿宋" w:hAnsi="仿宋" w:eastAsia="仿宋"/>
          <w:color w:val="000000" w:themeColor="text1"/>
          <w:kern w:val="0"/>
          <w:sz w:val="24"/>
          <w:szCs w:val="24"/>
        </w:rPr>
      </w:pPr>
      <w:r>
        <w:rPr>
          <w:rFonts w:hint="eastAsia" w:ascii="仿宋" w:hAnsi="仿宋" w:eastAsia="仿宋" w:cs="仿宋"/>
          <w:color w:val="000000" w:themeColor="text1"/>
          <w:kern w:val="0"/>
          <w:sz w:val="24"/>
          <w:szCs w:val="24"/>
        </w:rPr>
        <w:t>供应商提供具备履行合同所必需的设备和专业技术能力、参加政府采购活动近</w:t>
      </w:r>
      <w:r>
        <w:rPr>
          <w:rFonts w:ascii="仿宋" w:hAnsi="仿宋" w:eastAsia="仿宋" w:cs="仿宋"/>
          <w:color w:val="000000" w:themeColor="text1"/>
          <w:kern w:val="0"/>
          <w:sz w:val="24"/>
          <w:szCs w:val="24"/>
        </w:rPr>
        <w:t>3</w:t>
      </w:r>
      <w:r>
        <w:rPr>
          <w:rFonts w:hint="eastAsia" w:ascii="仿宋" w:hAnsi="仿宋" w:eastAsia="仿宋" w:cs="仿宋"/>
          <w:color w:val="000000" w:themeColor="text1"/>
          <w:kern w:val="0"/>
          <w:sz w:val="24"/>
          <w:szCs w:val="24"/>
        </w:rPr>
        <w:t>年内在经营活动中没有重大违法记录的书面声明。</w:t>
      </w:r>
    </w:p>
    <w:p>
      <w:pPr>
        <w:spacing w:line="420" w:lineRule="exact"/>
        <w:ind w:firstLine="480"/>
        <w:rPr>
          <w:rFonts w:ascii="仿宋_GB2312" w:hAnsi="宋体" w:eastAsia="仿宋_GB2312"/>
          <w:color w:val="000000" w:themeColor="text1"/>
        </w:rPr>
      </w:pPr>
      <w:r>
        <w:rPr>
          <w:rFonts w:hint="eastAsia" w:ascii="仿宋" w:hAnsi="仿宋" w:eastAsia="仿宋" w:cs="仿宋"/>
          <w:color w:val="000000" w:themeColor="text1"/>
          <w:kern w:val="0"/>
          <w:sz w:val="24"/>
          <w:szCs w:val="24"/>
        </w:rPr>
        <w:t>（4）无行贿犯罪记录。须提供供应商住所地或业务发生地检察机关出具的有效的行贿犯罪档案查询结果告知函</w:t>
      </w:r>
      <w:r>
        <w:rPr>
          <w:rFonts w:hint="eastAsia" w:ascii="仿宋" w:hAnsi="仿宋" w:eastAsia="仿宋" w:cs="仿宋"/>
          <w:b/>
          <w:bCs/>
          <w:color w:val="000000" w:themeColor="text1"/>
          <w:kern w:val="0"/>
          <w:sz w:val="24"/>
          <w:szCs w:val="24"/>
        </w:rPr>
        <w:t>（原件须胶装在技术商务部分正本中）。</w:t>
      </w:r>
    </w:p>
    <w:p>
      <w:pPr>
        <w:spacing w:line="420" w:lineRule="exact"/>
        <w:rPr>
          <w:rFonts w:ascii="仿宋" w:hAnsi="仿宋" w:eastAsia="仿宋"/>
          <w:color w:val="000000" w:themeColor="text1"/>
          <w:kern w:val="0"/>
          <w:sz w:val="24"/>
          <w:szCs w:val="24"/>
        </w:rPr>
      </w:pPr>
      <w:r>
        <w:rPr>
          <w:rFonts w:hint="eastAsia" w:ascii="仿宋" w:hAnsi="仿宋" w:eastAsia="仿宋" w:cs="仿宋"/>
          <w:color w:val="000000" w:themeColor="text1"/>
          <w:kern w:val="0"/>
          <w:sz w:val="24"/>
          <w:szCs w:val="24"/>
        </w:rPr>
        <w:t xml:space="preserve">    （5）本项目不接受联合体投标。</w:t>
      </w:r>
    </w:p>
    <w:p>
      <w:pPr>
        <w:pStyle w:val="27"/>
        <w:spacing w:line="400" w:lineRule="exact"/>
        <w:ind w:left="-2" w:leftChars="-1" w:firstLine="482"/>
        <w:rPr>
          <w:rFonts w:ascii="宋体" w:hAnsi="宋体"/>
          <w:sz w:val="24"/>
          <w:szCs w:val="24"/>
        </w:rPr>
      </w:pPr>
      <w:r>
        <w:rPr>
          <w:rFonts w:hint="eastAsia" w:ascii="仿宋" w:hAnsi="仿宋" w:eastAsia="仿宋" w:cs="仿宋"/>
          <w:b/>
          <w:bCs/>
          <w:color w:val="000000" w:themeColor="text1"/>
          <w:kern w:val="0"/>
          <w:sz w:val="24"/>
          <w:szCs w:val="24"/>
        </w:rPr>
        <w:t>注：供应商提交以上文件或证明的所有复印件应是最新（有效）、清晰、加盖持有者公章，并有原件备查。供应商必须满足以上所有资格条件，有任何一条不满足，都将导致其响应文件按无效标处理</w:t>
      </w:r>
      <w:r>
        <w:rPr>
          <w:rFonts w:ascii="仿宋" w:hAnsi="仿宋" w:eastAsia="仿宋" w:cs="仿宋"/>
          <w:b/>
          <w:bCs/>
          <w:color w:val="000000" w:themeColor="text1"/>
          <w:kern w:val="0"/>
          <w:sz w:val="24"/>
          <w:szCs w:val="24"/>
        </w:rPr>
        <w:t>.</w:t>
      </w:r>
    </w:p>
    <w:p>
      <w:pPr>
        <w:pStyle w:val="25"/>
        <w:spacing w:line="276" w:lineRule="auto"/>
        <w:ind w:left="420" w:leftChars="200"/>
        <w:rPr>
          <w:rFonts w:ascii="宋体" w:hAnsi="宋体" w:cs="Times New Roman"/>
          <w:sz w:val="24"/>
          <w:szCs w:val="24"/>
        </w:rPr>
      </w:pPr>
      <w:r>
        <w:rPr>
          <w:rFonts w:ascii="宋体" w:hAnsi="宋体" w:cs="Times New Roman"/>
          <w:sz w:val="24"/>
          <w:szCs w:val="24"/>
        </w:rPr>
        <w:t>5</w:t>
      </w:r>
      <w:r>
        <w:rPr>
          <w:rFonts w:hint="eastAsia" w:ascii="宋体" w:hAnsi="宋体" w:cs="Times New Roman"/>
          <w:sz w:val="24"/>
          <w:szCs w:val="24"/>
        </w:rPr>
        <w:t>、报名时间、地点、方式：</w:t>
      </w:r>
    </w:p>
    <w:p>
      <w:pPr>
        <w:pStyle w:val="25"/>
        <w:spacing w:line="276" w:lineRule="auto"/>
        <w:ind w:firstLine="480" w:firstLineChars="200"/>
        <w:rPr>
          <w:rFonts w:ascii="宋体" w:hAnsi="宋体" w:cs="Times New Roman"/>
          <w:sz w:val="24"/>
          <w:szCs w:val="24"/>
        </w:rPr>
      </w:pPr>
      <w:r>
        <w:rPr>
          <w:rFonts w:hint="eastAsia" w:ascii="宋体" w:hAnsi="宋体" w:cs="Times New Roman"/>
          <w:sz w:val="24"/>
          <w:szCs w:val="24"/>
        </w:rPr>
        <w:t>（</w:t>
      </w:r>
      <w:r>
        <w:rPr>
          <w:rFonts w:ascii="宋体" w:hAnsi="宋体" w:cs="Times New Roman"/>
          <w:sz w:val="24"/>
          <w:szCs w:val="24"/>
        </w:rPr>
        <w:t>1</w:t>
      </w:r>
      <w:r>
        <w:rPr>
          <w:rFonts w:hint="eastAsia" w:ascii="宋体" w:hAnsi="宋体" w:cs="Times New Roman"/>
          <w:sz w:val="24"/>
          <w:szCs w:val="24"/>
        </w:rPr>
        <w:t>）报名时间：</w:t>
      </w:r>
      <w:r>
        <w:rPr>
          <w:rFonts w:ascii="宋体" w:hAnsi="宋体" w:cs="Times New Roman"/>
          <w:sz w:val="24"/>
          <w:szCs w:val="24"/>
        </w:rPr>
        <w:t>20</w:t>
      </w:r>
      <w:r>
        <w:rPr>
          <w:rFonts w:hint="eastAsia" w:ascii="宋体" w:hAnsi="宋体" w:cs="Times New Roman"/>
          <w:sz w:val="24"/>
          <w:szCs w:val="24"/>
        </w:rPr>
        <w:t>23年2月20日至</w:t>
      </w:r>
      <w:r>
        <w:rPr>
          <w:rFonts w:ascii="宋体" w:hAnsi="宋体" w:cs="Times New Roman"/>
          <w:sz w:val="24"/>
          <w:szCs w:val="24"/>
        </w:rPr>
        <w:t>20</w:t>
      </w:r>
      <w:r>
        <w:rPr>
          <w:rFonts w:hint="eastAsia" w:ascii="宋体" w:hAnsi="宋体" w:cs="Times New Roman"/>
          <w:sz w:val="24"/>
          <w:szCs w:val="24"/>
        </w:rPr>
        <w:t>23年2月24日（上午</w:t>
      </w:r>
      <w:r>
        <w:rPr>
          <w:rFonts w:ascii="宋体" w:hAnsi="宋体" w:cs="Times New Roman"/>
          <w:sz w:val="24"/>
          <w:szCs w:val="24"/>
        </w:rPr>
        <w:t>8</w:t>
      </w:r>
      <w:r>
        <w:rPr>
          <w:rFonts w:hint="eastAsia" w:ascii="宋体" w:hAnsi="宋体" w:cs="Times New Roman"/>
          <w:sz w:val="24"/>
          <w:szCs w:val="24"/>
        </w:rPr>
        <w:t>：</w:t>
      </w:r>
      <w:r>
        <w:rPr>
          <w:rFonts w:ascii="宋体" w:hAnsi="宋体" w:cs="Times New Roman"/>
          <w:sz w:val="24"/>
          <w:szCs w:val="24"/>
        </w:rPr>
        <w:t>30</w:t>
      </w:r>
      <w:r>
        <w:rPr>
          <w:rFonts w:hint="eastAsia" w:ascii="宋体" w:hAnsi="宋体" w:cs="Times New Roman"/>
          <w:sz w:val="24"/>
          <w:szCs w:val="24"/>
        </w:rPr>
        <w:t>至</w:t>
      </w:r>
      <w:r>
        <w:rPr>
          <w:rFonts w:ascii="宋体" w:hAnsi="宋体" w:cs="Times New Roman"/>
          <w:sz w:val="24"/>
          <w:szCs w:val="24"/>
        </w:rPr>
        <w:t>12</w:t>
      </w:r>
      <w:r>
        <w:rPr>
          <w:rFonts w:hint="eastAsia" w:ascii="宋体" w:hAnsi="宋体" w:cs="Times New Roman"/>
          <w:sz w:val="24"/>
          <w:szCs w:val="24"/>
        </w:rPr>
        <w:t>：</w:t>
      </w:r>
      <w:r>
        <w:rPr>
          <w:rFonts w:ascii="宋体" w:hAnsi="宋体" w:cs="Times New Roman"/>
          <w:sz w:val="24"/>
          <w:szCs w:val="24"/>
        </w:rPr>
        <w:t>00</w:t>
      </w:r>
      <w:r>
        <w:rPr>
          <w:rFonts w:hint="eastAsia" w:ascii="宋体" w:hAnsi="宋体" w:cs="Times New Roman"/>
          <w:sz w:val="24"/>
          <w:szCs w:val="24"/>
        </w:rPr>
        <w:t>；下午</w:t>
      </w:r>
      <w:r>
        <w:rPr>
          <w:rFonts w:ascii="宋体" w:hAnsi="宋体" w:cs="Times New Roman"/>
          <w:sz w:val="24"/>
          <w:szCs w:val="24"/>
        </w:rPr>
        <w:t>2</w:t>
      </w:r>
      <w:r>
        <w:rPr>
          <w:rFonts w:hint="eastAsia" w:ascii="宋体" w:hAnsi="宋体" w:cs="Times New Roman"/>
          <w:sz w:val="24"/>
          <w:szCs w:val="24"/>
        </w:rPr>
        <w:t>：</w:t>
      </w:r>
      <w:r>
        <w:rPr>
          <w:rFonts w:ascii="宋体" w:hAnsi="宋体" w:cs="Times New Roman"/>
          <w:sz w:val="24"/>
          <w:szCs w:val="24"/>
        </w:rPr>
        <w:t>00</w:t>
      </w:r>
      <w:r>
        <w:rPr>
          <w:rFonts w:hint="eastAsia" w:ascii="宋体" w:hAnsi="宋体" w:cs="Times New Roman"/>
          <w:sz w:val="24"/>
          <w:szCs w:val="24"/>
        </w:rPr>
        <w:t>至</w:t>
      </w:r>
      <w:r>
        <w:rPr>
          <w:rFonts w:ascii="宋体" w:hAnsi="宋体" w:cs="Times New Roman"/>
          <w:sz w:val="24"/>
          <w:szCs w:val="24"/>
        </w:rPr>
        <w:t>5</w:t>
      </w:r>
      <w:r>
        <w:rPr>
          <w:rFonts w:hint="eastAsia" w:ascii="宋体" w:hAnsi="宋体" w:cs="Times New Roman"/>
          <w:sz w:val="24"/>
          <w:szCs w:val="24"/>
        </w:rPr>
        <w:t>：</w:t>
      </w:r>
      <w:r>
        <w:rPr>
          <w:rFonts w:ascii="宋体" w:hAnsi="宋体" w:cs="Times New Roman"/>
          <w:sz w:val="24"/>
          <w:szCs w:val="24"/>
        </w:rPr>
        <w:t>00</w:t>
      </w:r>
      <w:r>
        <w:rPr>
          <w:rFonts w:hint="eastAsia" w:ascii="宋体" w:hAnsi="宋体" w:cs="Times New Roman"/>
          <w:sz w:val="24"/>
          <w:szCs w:val="24"/>
        </w:rPr>
        <w:t>）（北京时间，上班时间，周六、周日休息）。</w:t>
      </w:r>
    </w:p>
    <w:p>
      <w:pPr>
        <w:pStyle w:val="25"/>
        <w:spacing w:line="276" w:lineRule="auto"/>
        <w:ind w:firstLine="480" w:firstLineChars="200"/>
        <w:rPr>
          <w:rFonts w:cs="Times New Roman" w:asciiTheme="minorEastAsia" w:hAnsiTheme="minorEastAsia" w:eastAsiaTheme="minorEastAsia"/>
          <w:sz w:val="24"/>
          <w:szCs w:val="24"/>
          <w:highlight w:val="none"/>
        </w:rPr>
      </w:pPr>
      <w:r>
        <w:rPr>
          <w:rFonts w:hint="eastAsia" w:ascii="宋体" w:hAnsi="宋体" w:cs="Times New Roman"/>
          <w:sz w:val="24"/>
          <w:szCs w:val="24"/>
        </w:rPr>
        <w:t>（</w:t>
      </w:r>
      <w:r>
        <w:rPr>
          <w:rFonts w:ascii="宋体" w:hAnsi="宋体" w:cs="Times New Roman"/>
          <w:sz w:val="24"/>
          <w:szCs w:val="24"/>
        </w:rPr>
        <w:t>2</w:t>
      </w:r>
      <w:r>
        <w:rPr>
          <w:rFonts w:hint="eastAsia" w:ascii="宋体" w:hAnsi="宋体" w:cs="Times New Roman"/>
          <w:sz w:val="24"/>
          <w:szCs w:val="24"/>
        </w:rPr>
        <w:t>）报</w:t>
      </w:r>
      <w:r>
        <w:rPr>
          <w:rFonts w:hint="eastAsia" w:ascii="宋体" w:hAnsi="宋体" w:cs="Times New Roman"/>
          <w:sz w:val="24"/>
          <w:szCs w:val="24"/>
          <w:highlight w:val="none"/>
        </w:rPr>
        <w:t>名地点：</w:t>
      </w:r>
      <w:r>
        <w:rPr>
          <w:rFonts w:hint="eastAsia" w:cs="Times New Roman" w:asciiTheme="minorEastAsia" w:hAnsiTheme="minorEastAsia" w:eastAsiaTheme="minorEastAsia"/>
          <w:sz w:val="24"/>
          <w:szCs w:val="24"/>
          <w:highlight w:val="none"/>
        </w:rPr>
        <w:t>福建工程学院北区图书馆13楼1303</w:t>
      </w:r>
      <w:r>
        <w:rPr>
          <w:rFonts w:hint="eastAsia" w:asciiTheme="minorEastAsia" w:hAnsiTheme="minorEastAsia" w:eastAsiaTheme="minorEastAsia"/>
          <w:sz w:val="24"/>
          <w:szCs w:val="24"/>
          <w:highlight w:val="none"/>
        </w:rPr>
        <w:t>审计</w:t>
      </w:r>
      <w:r>
        <w:rPr>
          <w:rFonts w:hint="eastAsia" w:cs="Times New Roman" w:asciiTheme="minorEastAsia" w:hAnsiTheme="minorEastAsia" w:eastAsiaTheme="minorEastAsia"/>
          <w:sz w:val="24"/>
          <w:szCs w:val="24"/>
          <w:highlight w:val="none"/>
        </w:rPr>
        <w:t>室</w:t>
      </w:r>
      <w:r>
        <w:rPr>
          <w:rFonts w:hint="eastAsia" w:cs="仿宋" w:asciiTheme="minorEastAsia" w:hAnsiTheme="minorEastAsia" w:eastAsiaTheme="minorEastAsia"/>
          <w:sz w:val="24"/>
          <w:szCs w:val="24"/>
          <w:highlight w:val="none"/>
        </w:rPr>
        <w:t>（福建省福州市闽侯县上街镇学府南路69号）</w:t>
      </w:r>
      <w:r>
        <w:rPr>
          <w:rFonts w:hint="eastAsia" w:cs="Times New Roman" w:asciiTheme="minorEastAsia" w:hAnsiTheme="minorEastAsia" w:eastAsiaTheme="minorEastAsia"/>
          <w:sz w:val="24"/>
          <w:szCs w:val="24"/>
          <w:highlight w:val="none"/>
        </w:rPr>
        <w:t>。</w:t>
      </w:r>
    </w:p>
    <w:p>
      <w:pPr>
        <w:pStyle w:val="25"/>
        <w:spacing w:line="276" w:lineRule="auto"/>
        <w:ind w:firstLine="480" w:firstLineChars="200"/>
        <w:rPr>
          <w:rFonts w:ascii="宋体" w:hAnsi="宋体" w:cs="Times New Roman"/>
          <w:sz w:val="24"/>
          <w:szCs w:val="24"/>
          <w:highlight w:val="none"/>
        </w:rPr>
      </w:pPr>
      <w:r>
        <w:rPr>
          <w:rFonts w:hint="eastAsia" w:ascii="宋体" w:hAnsi="宋体" w:cs="Times New Roman"/>
          <w:sz w:val="24"/>
          <w:szCs w:val="24"/>
          <w:highlight w:val="none"/>
        </w:rPr>
        <w:t>（</w:t>
      </w:r>
      <w:r>
        <w:rPr>
          <w:rFonts w:ascii="宋体" w:hAnsi="宋体" w:cs="Times New Roman"/>
          <w:sz w:val="24"/>
          <w:szCs w:val="24"/>
          <w:highlight w:val="none"/>
        </w:rPr>
        <w:t>3</w:t>
      </w:r>
      <w:r>
        <w:rPr>
          <w:rFonts w:hint="eastAsia" w:ascii="宋体" w:hAnsi="宋体" w:cs="Times New Roman"/>
          <w:sz w:val="24"/>
          <w:szCs w:val="24"/>
          <w:highlight w:val="none"/>
        </w:rPr>
        <w:t>）报名方式：报名时可提交加盖公章的营业执照复印件（注明联系人电话、邮箱）、报名人身份证复印件扫描后发至邮箱（317286673 @qq.com）宋老师收，与宋老师电话确认后视为有效报名。</w:t>
      </w:r>
    </w:p>
    <w:p>
      <w:pPr>
        <w:widowControl/>
        <w:spacing w:line="400" w:lineRule="exact"/>
        <w:ind w:left="1841" w:leftChars="248" w:hanging="1320" w:hangingChars="550"/>
        <w:rPr>
          <w:rFonts w:ascii="宋体" w:hAnsi="宋体"/>
          <w:sz w:val="24"/>
          <w:szCs w:val="24"/>
          <w:highlight w:val="none"/>
        </w:rPr>
      </w:pPr>
      <w:r>
        <w:rPr>
          <w:rFonts w:hint="eastAsia" w:ascii="宋体" w:hAnsi="宋体"/>
          <w:sz w:val="24"/>
          <w:szCs w:val="24"/>
          <w:highlight w:val="none"/>
        </w:rPr>
        <w:t>6、最高限价：本次采购项目最高限价为9.8万元。</w:t>
      </w:r>
    </w:p>
    <w:p>
      <w:pPr>
        <w:widowControl/>
        <w:spacing w:line="400" w:lineRule="exact"/>
        <w:ind w:firstLine="523" w:firstLineChars="218"/>
        <w:rPr>
          <w:rFonts w:ascii="宋体" w:hAnsi="宋体"/>
          <w:sz w:val="24"/>
          <w:szCs w:val="24"/>
          <w:highlight w:val="none"/>
        </w:rPr>
      </w:pPr>
      <w:r>
        <w:rPr>
          <w:rFonts w:hint="eastAsia" w:ascii="宋体" w:hAnsi="宋体"/>
          <w:sz w:val="24"/>
          <w:szCs w:val="24"/>
          <w:highlight w:val="none"/>
        </w:rPr>
        <w:t>7、供应商对本次招标活动事项提出疑问的，请在报名截止日内，以书面形式（有效签署的原件并加盖公章）提交到福建工程学院图书馆13楼1303审计室。</w:t>
      </w:r>
    </w:p>
    <w:p>
      <w:pPr>
        <w:spacing w:line="400" w:lineRule="exact"/>
        <w:ind w:firstLine="480" w:firstLineChars="200"/>
        <w:rPr>
          <w:rFonts w:ascii="宋体" w:hAnsi="宋体"/>
          <w:sz w:val="24"/>
          <w:szCs w:val="24"/>
          <w:highlight w:val="none"/>
        </w:rPr>
      </w:pPr>
      <w:r>
        <w:rPr>
          <w:rFonts w:hint="eastAsia" w:ascii="宋体" w:hAnsi="宋体"/>
          <w:sz w:val="24"/>
          <w:szCs w:val="24"/>
          <w:highlight w:val="none"/>
        </w:rPr>
        <w:t>8、投标截止时间：2023年2月27日上午9：00（北京时间），供应商应在此之前将密封的响应文件邮寄到</w:t>
      </w:r>
      <w:r>
        <w:rPr>
          <w:rFonts w:hint="eastAsia" w:cs="仿宋" w:asciiTheme="minorEastAsia" w:hAnsiTheme="minorEastAsia" w:eastAsiaTheme="minorEastAsia"/>
          <w:sz w:val="24"/>
          <w:szCs w:val="24"/>
          <w:highlight w:val="none"/>
        </w:rPr>
        <w:t>福建省福州市闽侯县上街镇学府南路69号</w:t>
      </w:r>
      <w:r>
        <w:rPr>
          <w:rFonts w:hint="eastAsia" w:ascii="宋体" w:hAnsi="宋体"/>
          <w:sz w:val="24"/>
          <w:szCs w:val="24"/>
          <w:highlight w:val="none"/>
        </w:rPr>
        <w:t>福建工程学院北区图书馆13楼1303审计室宋老师收，</w:t>
      </w:r>
      <w:r>
        <w:rPr>
          <w:rFonts w:hint="eastAsia" w:ascii="宋体" w:hAnsi="宋体" w:cs="Arial"/>
          <w:bCs/>
          <w:kern w:val="0"/>
          <w:sz w:val="24"/>
          <w:szCs w:val="24"/>
          <w:highlight w:val="none"/>
        </w:rPr>
        <w:t>以采购人收到磋商文件时间为准，</w:t>
      </w:r>
      <w:r>
        <w:rPr>
          <w:rFonts w:hint="eastAsia" w:ascii="宋体" w:hAnsi="宋体"/>
          <w:sz w:val="24"/>
          <w:szCs w:val="24"/>
          <w:highlight w:val="none"/>
        </w:rPr>
        <w:t>逾期寄达的</w:t>
      </w:r>
      <w:r>
        <w:rPr>
          <w:rFonts w:hint="eastAsia" w:ascii="宋体" w:hAnsi="宋体" w:cs="Arial"/>
          <w:kern w:val="0"/>
          <w:sz w:val="24"/>
          <w:szCs w:val="24"/>
          <w:highlight w:val="none"/>
        </w:rPr>
        <w:t>或不符合规定的响应文件将被拒绝接受。</w:t>
      </w:r>
    </w:p>
    <w:p>
      <w:pPr>
        <w:spacing w:line="440" w:lineRule="exact"/>
        <w:ind w:firstLine="480" w:firstLineChars="200"/>
        <w:rPr>
          <w:rFonts w:ascii="宋体" w:hAnsi="宋体"/>
          <w:sz w:val="24"/>
          <w:szCs w:val="24"/>
          <w:highlight w:val="none"/>
        </w:rPr>
      </w:pPr>
      <w:r>
        <w:rPr>
          <w:rFonts w:hint="eastAsia" w:ascii="宋体" w:hAnsi="宋体" w:cs="仿宋"/>
          <w:sz w:val="24"/>
          <w:szCs w:val="24"/>
          <w:highlight w:val="none"/>
        </w:rPr>
        <w:t>9、开标时间及地点：</w:t>
      </w:r>
      <w:r>
        <w:rPr>
          <w:rFonts w:ascii="宋体" w:hAnsi="宋体" w:cs="仿宋"/>
          <w:sz w:val="24"/>
          <w:szCs w:val="24"/>
          <w:highlight w:val="none"/>
          <w:u w:val="single"/>
        </w:rPr>
        <w:t>20</w:t>
      </w:r>
      <w:r>
        <w:rPr>
          <w:rFonts w:hint="eastAsia" w:ascii="宋体" w:hAnsi="宋体" w:cs="仿宋"/>
          <w:sz w:val="24"/>
          <w:szCs w:val="24"/>
          <w:highlight w:val="none"/>
          <w:u w:val="single"/>
        </w:rPr>
        <w:t>23</w:t>
      </w:r>
      <w:r>
        <w:rPr>
          <w:rFonts w:hint="eastAsia" w:ascii="宋体" w:hAnsi="宋体" w:cs="仿宋"/>
          <w:sz w:val="24"/>
          <w:szCs w:val="24"/>
          <w:highlight w:val="none"/>
        </w:rPr>
        <w:t>年</w:t>
      </w:r>
      <w:r>
        <w:rPr>
          <w:rFonts w:hint="eastAsia" w:ascii="宋体" w:hAnsi="宋体" w:cs="仿宋"/>
          <w:sz w:val="24"/>
          <w:szCs w:val="24"/>
          <w:highlight w:val="none"/>
          <w:u w:val="single"/>
        </w:rPr>
        <w:t>2</w:t>
      </w:r>
      <w:r>
        <w:rPr>
          <w:rFonts w:hint="eastAsia" w:ascii="宋体" w:hAnsi="宋体" w:cs="仿宋"/>
          <w:sz w:val="24"/>
          <w:szCs w:val="24"/>
          <w:highlight w:val="none"/>
        </w:rPr>
        <w:t>月</w:t>
      </w:r>
      <w:r>
        <w:rPr>
          <w:rFonts w:hint="eastAsia" w:ascii="宋体" w:hAnsi="宋体" w:cs="仿宋"/>
          <w:sz w:val="24"/>
          <w:szCs w:val="24"/>
          <w:highlight w:val="none"/>
          <w:u w:val="single"/>
        </w:rPr>
        <w:t>27</w:t>
      </w:r>
      <w:r>
        <w:rPr>
          <w:rFonts w:hint="eastAsia" w:ascii="宋体" w:hAnsi="宋体" w:cs="仿宋"/>
          <w:sz w:val="24"/>
          <w:szCs w:val="24"/>
          <w:highlight w:val="none"/>
        </w:rPr>
        <w:t>日9</w:t>
      </w:r>
      <w:r>
        <w:rPr>
          <w:rFonts w:ascii="宋体" w:hAnsi="宋体" w:cs="仿宋"/>
          <w:sz w:val="24"/>
          <w:szCs w:val="24"/>
          <w:highlight w:val="none"/>
        </w:rPr>
        <w:t>:</w:t>
      </w:r>
      <w:r>
        <w:rPr>
          <w:rFonts w:hint="eastAsia" w:ascii="宋体" w:hAnsi="宋体" w:cs="仿宋"/>
          <w:sz w:val="24"/>
          <w:szCs w:val="24"/>
          <w:highlight w:val="none"/>
        </w:rPr>
        <w:t>0</w:t>
      </w:r>
      <w:r>
        <w:rPr>
          <w:rFonts w:ascii="宋体" w:hAnsi="宋体" w:cs="仿宋"/>
          <w:sz w:val="24"/>
          <w:szCs w:val="24"/>
          <w:highlight w:val="none"/>
        </w:rPr>
        <w:t>0:00(</w:t>
      </w:r>
      <w:r>
        <w:rPr>
          <w:rFonts w:hint="eastAsia" w:ascii="宋体" w:hAnsi="宋体" w:cs="仿宋"/>
          <w:sz w:val="24"/>
          <w:szCs w:val="24"/>
          <w:highlight w:val="none"/>
        </w:rPr>
        <w:t>北京时间</w:t>
      </w:r>
      <w:r>
        <w:rPr>
          <w:rFonts w:ascii="宋体" w:hAnsi="宋体" w:cs="仿宋"/>
          <w:sz w:val="24"/>
          <w:szCs w:val="24"/>
          <w:highlight w:val="none"/>
        </w:rPr>
        <w:t>)</w:t>
      </w:r>
      <w:r>
        <w:rPr>
          <w:rFonts w:hint="eastAsia" w:ascii="宋体" w:hAnsi="宋体"/>
          <w:sz w:val="24"/>
          <w:szCs w:val="24"/>
          <w:highlight w:val="none"/>
        </w:rPr>
        <w:t>福建工程学院北区图书馆13楼1303审计室(</w:t>
      </w:r>
      <w:r>
        <w:rPr>
          <w:rFonts w:hint="eastAsia" w:cs="仿宋" w:asciiTheme="minorEastAsia" w:hAnsiTheme="minorEastAsia" w:eastAsiaTheme="minorEastAsia"/>
          <w:sz w:val="24"/>
          <w:szCs w:val="24"/>
          <w:highlight w:val="none"/>
        </w:rPr>
        <w:t>福建省福州市闽侯县上街镇学府南路69号</w:t>
      </w:r>
      <w:r>
        <w:rPr>
          <w:rFonts w:hint="eastAsia" w:ascii="宋体" w:hAnsi="宋体" w:cs="仿宋"/>
          <w:sz w:val="24"/>
          <w:szCs w:val="24"/>
          <w:highlight w:val="none"/>
        </w:rPr>
        <w:t>)</w:t>
      </w:r>
      <w:r>
        <w:rPr>
          <w:rFonts w:hint="eastAsia" w:ascii="宋体" w:hAnsi="宋体"/>
          <w:sz w:val="24"/>
          <w:szCs w:val="24"/>
          <w:highlight w:val="none"/>
        </w:rPr>
        <w:t>。</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10</w:t>
      </w:r>
      <w:r>
        <w:rPr>
          <w:rFonts w:hint="eastAsia" w:ascii="宋体" w:hAnsi="宋体"/>
          <w:bCs/>
          <w:sz w:val="24"/>
          <w:szCs w:val="24"/>
          <w:highlight w:val="none"/>
        </w:rPr>
        <w:t>、</w:t>
      </w:r>
      <w:r>
        <w:rPr>
          <w:rFonts w:hint="eastAsia" w:ascii="宋体" w:hAnsi="宋体"/>
          <w:sz w:val="24"/>
          <w:szCs w:val="24"/>
          <w:highlight w:val="none"/>
          <w:lang w:val="zh-CN"/>
        </w:rPr>
        <w:t>有关本项目的相关信息</w:t>
      </w:r>
      <w:r>
        <w:rPr>
          <w:rFonts w:hint="eastAsia" w:ascii="宋体" w:hAnsi="宋体"/>
          <w:bCs/>
          <w:sz w:val="24"/>
          <w:szCs w:val="24"/>
          <w:highlight w:val="none"/>
        </w:rPr>
        <w:t>福建工程学院将</w:t>
      </w:r>
      <w:r>
        <w:rPr>
          <w:rFonts w:hint="eastAsia" w:ascii="宋体" w:hAnsi="宋体"/>
          <w:spacing w:val="-2"/>
          <w:sz w:val="24"/>
          <w:szCs w:val="24"/>
          <w:highlight w:val="none"/>
        </w:rPr>
        <w:t>通过二级单</w:t>
      </w:r>
      <w:r>
        <w:rPr>
          <w:rFonts w:hint="eastAsia" w:ascii="宋体" w:hAnsi="宋体"/>
          <w:sz w:val="24"/>
          <w:szCs w:val="24"/>
          <w:highlight w:val="none"/>
        </w:rPr>
        <w:t>位网站（</w:t>
      </w:r>
      <w:r>
        <w:rPr>
          <w:rFonts w:ascii="宋体" w:hAnsi="宋体"/>
          <w:sz w:val="24"/>
          <w:szCs w:val="24"/>
          <w:highlight w:val="none"/>
        </w:rPr>
        <w:t>https://lb.fjut.edu.cn/</w:t>
      </w:r>
      <w:r>
        <w:rPr>
          <w:rFonts w:hint="eastAsia" w:ascii="宋体" w:hAnsi="宋体"/>
          <w:sz w:val="24"/>
          <w:szCs w:val="24"/>
          <w:highlight w:val="none"/>
        </w:rPr>
        <w:t>）、资产管理处网站（</w:t>
      </w:r>
      <w:r>
        <w:rPr>
          <w:highlight w:val="none"/>
        </w:rPr>
        <w:fldChar w:fldCharType="begin"/>
      </w:r>
      <w:r>
        <w:rPr>
          <w:highlight w:val="none"/>
        </w:rPr>
        <w:instrText xml:space="preserve">HYPERLINK "http://zcglc.fjut.edu.cn/）及校信息公开网站"</w:instrText>
      </w:r>
      <w:r>
        <w:rPr>
          <w:highlight w:val="none"/>
        </w:rPr>
        <w:fldChar w:fldCharType="separate"/>
      </w:r>
      <w:r>
        <w:rPr>
          <w:rStyle w:val="16"/>
          <w:rFonts w:ascii="宋体" w:hAnsi="宋体"/>
          <w:color w:val="auto"/>
          <w:spacing w:val="-8"/>
          <w:sz w:val="24"/>
          <w:szCs w:val="24"/>
          <w:highlight w:val="none"/>
        </w:rPr>
        <w:t>http://zcglc.fjut.edu.cn/</w:t>
      </w:r>
      <w:r>
        <w:rPr>
          <w:rStyle w:val="16"/>
          <w:rFonts w:hint="eastAsia" w:ascii="宋体" w:hAnsi="宋体"/>
          <w:color w:val="auto"/>
          <w:spacing w:val="-8"/>
          <w:sz w:val="24"/>
          <w:szCs w:val="24"/>
          <w:highlight w:val="none"/>
        </w:rPr>
        <w:t>）</w:t>
      </w:r>
      <w:r>
        <w:rPr>
          <w:rStyle w:val="16"/>
          <w:rFonts w:hint="eastAsia" w:ascii="宋体" w:hAnsi="宋体"/>
          <w:color w:val="auto"/>
          <w:sz w:val="24"/>
          <w:szCs w:val="24"/>
          <w:highlight w:val="none"/>
        </w:rPr>
        <w:t>及校信息公开网站</w:t>
      </w:r>
      <w:r>
        <w:rPr>
          <w:highlight w:val="none"/>
        </w:rPr>
        <w:fldChar w:fldCharType="end"/>
      </w:r>
      <w:r>
        <w:rPr>
          <w:rFonts w:hint="eastAsia" w:ascii="宋体" w:hAnsi="宋体"/>
          <w:sz w:val="24"/>
          <w:szCs w:val="24"/>
          <w:highlight w:val="none"/>
        </w:rPr>
        <w:t>（</w:t>
      </w:r>
      <w:r>
        <w:rPr>
          <w:rFonts w:ascii="宋体" w:hAnsi="宋体"/>
          <w:sz w:val="24"/>
          <w:szCs w:val="24"/>
          <w:highlight w:val="none"/>
        </w:rPr>
        <w:t>http://xxgk.fjut.edu.cn/</w:t>
      </w:r>
      <w:r>
        <w:rPr>
          <w:rFonts w:hint="eastAsia" w:ascii="宋体" w:hAnsi="宋体"/>
          <w:sz w:val="24"/>
          <w:szCs w:val="24"/>
          <w:highlight w:val="none"/>
        </w:rPr>
        <w:t>）上公布，</w:t>
      </w:r>
      <w:r>
        <w:rPr>
          <w:rFonts w:hint="eastAsia" w:ascii="宋体" w:hAnsi="宋体"/>
          <w:sz w:val="24"/>
          <w:szCs w:val="24"/>
          <w:highlight w:val="none"/>
          <w:lang w:val="zh-CN"/>
        </w:rPr>
        <w:t>请潜在供应商随时关注相关网站</w:t>
      </w:r>
      <w:r>
        <w:rPr>
          <w:rFonts w:hint="eastAsia" w:ascii="宋体" w:hAnsi="宋体"/>
          <w:sz w:val="24"/>
          <w:szCs w:val="24"/>
          <w:highlight w:val="none"/>
        </w:rPr>
        <w:t>，</w:t>
      </w:r>
      <w:r>
        <w:rPr>
          <w:rFonts w:hint="eastAsia" w:ascii="宋体" w:hAnsi="宋体"/>
          <w:sz w:val="24"/>
          <w:szCs w:val="24"/>
          <w:highlight w:val="none"/>
          <w:lang w:val="zh-CN"/>
        </w:rPr>
        <w:t>以免错漏重要信息。</w:t>
      </w:r>
    </w:p>
    <w:p>
      <w:pPr>
        <w:spacing w:line="440" w:lineRule="exact"/>
        <w:ind w:firstLine="475" w:firstLineChars="198"/>
        <w:rPr>
          <w:rFonts w:ascii="宋体" w:hAnsi="宋体"/>
          <w:sz w:val="24"/>
          <w:szCs w:val="24"/>
          <w:highlight w:val="none"/>
        </w:rPr>
      </w:pPr>
      <w:r>
        <w:rPr>
          <w:rFonts w:hint="eastAsia" w:ascii="宋体" w:hAnsi="宋体"/>
          <w:sz w:val="24"/>
          <w:szCs w:val="24"/>
          <w:highlight w:val="none"/>
          <w:lang w:val="zh-CN"/>
        </w:rPr>
        <w:t>11、本项目</w:t>
      </w:r>
      <w:r>
        <w:rPr>
          <w:rFonts w:hint="eastAsia" w:ascii="宋体" w:hAnsi="宋体"/>
          <w:sz w:val="24"/>
          <w:szCs w:val="24"/>
          <w:highlight w:val="none"/>
        </w:rPr>
        <w:t>采购人：福建工程学院</w:t>
      </w:r>
    </w:p>
    <w:p>
      <w:pPr>
        <w:spacing w:line="440" w:lineRule="exact"/>
        <w:ind w:firstLine="955" w:firstLineChars="398"/>
        <w:rPr>
          <w:rFonts w:ascii="宋体" w:hAnsi="宋体"/>
          <w:sz w:val="24"/>
          <w:szCs w:val="24"/>
          <w:highlight w:val="none"/>
        </w:rPr>
      </w:pPr>
      <w:r>
        <w:rPr>
          <w:rFonts w:hint="eastAsia" w:ascii="宋体" w:hAnsi="宋体"/>
          <w:sz w:val="24"/>
          <w:szCs w:val="24"/>
          <w:highlight w:val="none"/>
        </w:rPr>
        <w:t>地  址：</w:t>
      </w:r>
      <w:r>
        <w:rPr>
          <w:rFonts w:hint="eastAsia" w:cs="仿宋" w:asciiTheme="minorEastAsia" w:hAnsiTheme="minorEastAsia" w:eastAsiaTheme="minorEastAsia"/>
          <w:sz w:val="24"/>
          <w:szCs w:val="24"/>
          <w:highlight w:val="none"/>
        </w:rPr>
        <w:t>福建省福州市闽侯县上街镇学府南路69号</w:t>
      </w:r>
    </w:p>
    <w:p>
      <w:pPr>
        <w:spacing w:line="440" w:lineRule="exact"/>
        <w:ind w:firstLine="955" w:firstLineChars="398"/>
        <w:rPr>
          <w:rFonts w:ascii="宋体" w:hAnsi="宋体"/>
          <w:sz w:val="24"/>
          <w:szCs w:val="24"/>
        </w:rPr>
      </w:pPr>
      <w:r>
        <w:rPr>
          <w:rFonts w:hint="eastAsia" w:ascii="宋体" w:hAnsi="宋体"/>
          <w:sz w:val="24"/>
          <w:szCs w:val="24"/>
        </w:rPr>
        <w:t xml:space="preserve">联系人：宋芳 </w:t>
      </w:r>
    </w:p>
    <w:p>
      <w:pPr>
        <w:spacing w:line="440" w:lineRule="exact"/>
        <w:ind w:firstLine="955" w:firstLineChars="398"/>
        <w:rPr>
          <w:rFonts w:ascii="宋体" w:hAnsi="宋体"/>
          <w:sz w:val="24"/>
          <w:szCs w:val="24"/>
        </w:rPr>
      </w:pPr>
      <w:r>
        <w:rPr>
          <w:rFonts w:hint="eastAsia" w:ascii="宋体" w:hAnsi="宋体"/>
          <w:sz w:val="24"/>
          <w:szCs w:val="24"/>
        </w:rPr>
        <w:t>联系电话：22865066</w:t>
      </w:r>
    </w:p>
    <w:p>
      <w:pPr>
        <w:spacing w:line="440" w:lineRule="exact"/>
        <w:ind w:firstLine="959" w:firstLineChars="398"/>
        <w:rPr>
          <w:rFonts w:ascii="宋体" w:hAnsi="宋体"/>
          <w:b/>
          <w:sz w:val="24"/>
          <w:szCs w:val="24"/>
        </w:rPr>
      </w:pPr>
    </w:p>
    <w:p>
      <w:pPr>
        <w:spacing w:line="440" w:lineRule="exact"/>
        <w:ind w:firstLine="959" w:firstLineChars="398"/>
        <w:rPr>
          <w:rFonts w:ascii="宋体" w:hAnsi="宋体"/>
          <w:b/>
          <w:sz w:val="24"/>
          <w:szCs w:val="24"/>
        </w:rPr>
      </w:pPr>
    </w:p>
    <w:p>
      <w:pPr>
        <w:spacing w:line="440" w:lineRule="exact"/>
        <w:ind w:firstLine="959" w:firstLineChars="398"/>
        <w:rPr>
          <w:rFonts w:ascii="宋体" w:hAnsi="宋体"/>
          <w:b/>
          <w:sz w:val="24"/>
          <w:szCs w:val="24"/>
        </w:rPr>
      </w:pPr>
    </w:p>
    <w:p>
      <w:pPr>
        <w:spacing w:line="440" w:lineRule="exact"/>
        <w:ind w:firstLine="959" w:firstLineChars="398"/>
        <w:rPr>
          <w:rFonts w:ascii="宋体" w:hAnsi="宋体"/>
          <w:b/>
          <w:sz w:val="24"/>
          <w:szCs w:val="24"/>
        </w:rPr>
      </w:pPr>
    </w:p>
    <w:p>
      <w:pPr>
        <w:spacing w:line="440" w:lineRule="exact"/>
        <w:ind w:firstLine="959" w:firstLineChars="398"/>
        <w:rPr>
          <w:rFonts w:ascii="宋体" w:hAnsi="宋体"/>
          <w:b/>
          <w:sz w:val="24"/>
          <w:szCs w:val="24"/>
        </w:rPr>
      </w:pPr>
    </w:p>
    <w:p>
      <w:pPr>
        <w:spacing w:line="440" w:lineRule="exact"/>
        <w:ind w:firstLine="959" w:firstLineChars="398"/>
        <w:rPr>
          <w:rFonts w:ascii="宋体" w:hAnsi="宋体"/>
          <w:b/>
          <w:sz w:val="24"/>
          <w:szCs w:val="24"/>
        </w:rPr>
      </w:pPr>
    </w:p>
    <w:p>
      <w:pPr>
        <w:spacing w:line="440" w:lineRule="exact"/>
        <w:ind w:firstLine="959" w:firstLineChars="398"/>
        <w:rPr>
          <w:rFonts w:ascii="宋体" w:hAnsi="宋体"/>
          <w:b/>
          <w:sz w:val="24"/>
          <w:szCs w:val="24"/>
        </w:rPr>
      </w:pPr>
    </w:p>
    <w:p>
      <w:pPr>
        <w:spacing w:line="440" w:lineRule="exact"/>
        <w:ind w:firstLine="959" w:firstLineChars="398"/>
        <w:rPr>
          <w:rFonts w:ascii="宋体" w:hAnsi="宋体"/>
          <w:b/>
          <w:sz w:val="24"/>
          <w:szCs w:val="24"/>
        </w:rPr>
      </w:pPr>
    </w:p>
    <w:p>
      <w:pPr>
        <w:spacing w:line="440" w:lineRule="exact"/>
        <w:ind w:firstLine="959" w:firstLineChars="398"/>
        <w:rPr>
          <w:rFonts w:ascii="宋体" w:hAnsi="宋体"/>
          <w:b/>
          <w:sz w:val="24"/>
          <w:szCs w:val="24"/>
        </w:rPr>
      </w:pPr>
    </w:p>
    <w:p>
      <w:pPr>
        <w:spacing w:line="440" w:lineRule="exact"/>
        <w:ind w:firstLine="475" w:firstLineChars="198"/>
        <w:rPr>
          <w:rFonts w:ascii="宋体" w:hAnsi="宋体"/>
          <w:sz w:val="24"/>
          <w:szCs w:val="24"/>
        </w:rPr>
      </w:pPr>
      <w:bookmarkStart w:id="1" w:name="_Toc462909746"/>
      <w:r>
        <w:rPr>
          <w:rFonts w:hint="eastAsia" w:ascii="宋体" w:hAnsi="宋体"/>
          <w:sz w:val="24"/>
          <w:szCs w:val="24"/>
        </w:rPr>
        <w:t>附：</w:t>
      </w:r>
      <w:bookmarkEnd w:id="1"/>
    </w:p>
    <w:p>
      <w:pPr>
        <w:spacing w:line="440" w:lineRule="exact"/>
        <w:jc w:val="center"/>
        <w:rPr>
          <w:rFonts w:ascii="宋体" w:hAnsi="宋体"/>
          <w:sz w:val="24"/>
          <w:szCs w:val="24"/>
        </w:rPr>
      </w:pPr>
      <w:r>
        <w:rPr>
          <w:rFonts w:hint="eastAsia" w:ascii="宋体" w:hAnsi="宋体"/>
          <w:b/>
          <w:sz w:val="30"/>
          <w:szCs w:val="30"/>
        </w:rPr>
        <w:t>磋商项目一览表</w:t>
      </w:r>
    </w:p>
    <w:tbl>
      <w:tblPr>
        <w:tblStyle w:val="11"/>
        <w:tblW w:w="10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851"/>
        <w:gridCol w:w="2835"/>
        <w:gridCol w:w="708"/>
        <w:gridCol w:w="1134"/>
        <w:gridCol w:w="2977"/>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815" w:type="dxa"/>
            <w:vAlign w:val="center"/>
          </w:tcPr>
          <w:p>
            <w:pPr>
              <w:pStyle w:val="25"/>
              <w:spacing w:line="276" w:lineRule="auto"/>
              <w:jc w:val="center"/>
              <w:rPr>
                <w:rFonts w:cs="Times New Roman"/>
                <w:b/>
              </w:rPr>
            </w:pPr>
            <w:r>
              <w:rPr>
                <w:rFonts w:hint="eastAsia" w:cs="Times New Roman"/>
                <w:b/>
              </w:rPr>
              <w:t>合同包</w:t>
            </w:r>
          </w:p>
        </w:tc>
        <w:tc>
          <w:tcPr>
            <w:tcW w:w="851" w:type="dxa"/>
            <w:vAlign w:val="center"/>
          </w:tcPr>
          <w:p>
            <w:pPr>
              <w:pStyle w:val="25"/>
              <w:spacing w:line="276" w:lineRule="auto"/>
              <w:jc w:val="center"/>
              <w:rPr>
                <w:rFonts w:cs="Times New Roman"/>
                <w:b/>
              </w:rPr>
            </w:pPr>
            <w:r>
              <w:rPr>
                <w:rFonts w:hint="eastAsia" w:cs="Times New Roman"/>
                <w:b/>
              </w:rPr>
              <w:t>品目号</w:t>
            </w:r>
          </w:p>
        </w:tc>
        <w:tc>
          <w:tcPr>
            <w:tcW w:w="2835" w:type="dxa"/>
            <w:vAlign w:val="center"/>
          </w:tcPr>
          <w:p>
            <w:pPr>
              <w:pStyle w:val="25"/>
              <w:spacing w:line="276" w:lineRule="auto"/>
              <w:jc w:val="center"/>
              <w:rPr>
                <w:rFonts w:cs="Times New Roman"/>
                <w:b/>
              </w:rPr>
            </w:pPr>
            <w:r>
              <w:rPr>
                <w:rFonts w:hint="eastAsia" w:cs="Times New Roman"/>
                <w:b/>
              </w:rPr>
              <w:t>项目名称</w:t>
            </w:r>
          </w:p>
        </w:tc>
        <w:tc>
          <w:tcPr>
            <w:tcW w:w="708" w:type="dxa"/>
            <w:vAlign w:val="center"/>
          </w:tcPr>
          <w:p>
            <w:pPr>
              <w:pStyle w:val="25"/>
              <w:spacing w:line="276" w:lineRule="auto"/>
              <w:jc w:val="center"/>
              <w:rPr>
                <w:rFonts w:cs="Times New Roman"/>
                <w:b/>
              </w:rPr>
            </w:pPr>
            <w:r>
              <w:rPr>
                <w:rFonts w:hint="eastAsia" w:cs="Times New Roman"/>
                <w:b/>
              </w:rPr>
              <w:t>数量</w:t>
            </w:r>
          </w:p>
        </w:tc>
        <w:tc>
          <w:tcPr>
            <w:tcW w:w="1134" w:type="dxa"/>
            <w:vAlign w:val="center"/>
          </w:tcPr>
          <w:p>
            <w:pPr>
              <w:pStyle w:val="25"/>
              <w:spacing w:line="276" w:lineRule="auto"/>
              <w:jc w:val="center"/>
              <w:rPr>
                <w:rFonts w:cs="Times New Roman"/>
                <w:b/>
              </w:rPr>
            </w:pPr>
            <w:r>
              <w:rPr>
                <w:rFonts w:hint="eastAsia" w:cs="Times New Roman"/>
                <w:b/>
              </w:rPr>
              <w:t>预算金额（万元）</w:t>
            </w:r>
          </w:p>
        </w:tc>
        <w:tc>
          <w:tcPr>
            <w:tcW w:w="2977" w:type="dxa"/>
            <w:vAlign w:val="center"/>
          </w:tcPr>
          <w:p>
            <w:pPr>
              <w:pStyle w:val="25"/>
              <w:spacing w:line="276" w:lineRule="auto"/>
              <w:jc w:val="center"/>
              <w:rPr>
                <w:rFonts w:cs="Times New Roman"/>
                <w:b/>
              </w:rPr>
            </w:pPr>
            <w:r>
              <w:rPr>
                <w:rFonts w:hint="eastAsia" w:cs="Times New Roman"/>
                <w:b/>
              </w:rPr>
              <w:t>主要服务要求</w:t>
            </w:r>
          </w:p>
        </w:tc>
        <w:tc>
          <w:tcPr>
            <w:tcW w:w="757" w:type="dxa"/>
            <w:vAlign w:val="center"/>
          </w:tcPr>
          <w:p>
            <w:pPr>
              <w:spacing w:line="32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815" w:type="dxa"/>
            <w:vAlign w:val="center"/>
          </w:tcPr>
          <w:p>
            <w:pPr>
              <w:pStyle w:val="6"/>
              <w:spacing w:line="460" w:lineRule="exact"/>
              <w:jc w:val="center"/>
              <w:rPr>
                <w:rFonts w:ascii="Calibri" w:hAnsi="Calibri"/>
                <w:szCs w:val="21"/>
              </w:rPr>
            </w:pPr>
            <w:r>
              <w:rPr>
                <w:rFonts w:hint="eastAsia" w:ascii="Calibri" w:hAnsi="Calibri"/>
                <w:szCs w:val="21"/>
              </w:rPr>
              <w:t>1</w:t>
            </w:r>
          </w:p>
        </w:tc>
        <w:tc>
          <w:tcPr>
            <w:tcW w:w="851" w:type="dxa"/>
            <w:vAlign w:val="center"/>
          </w:tcPr>
          <w:p>
            <w:pPr>
              <w:widowControl/>
              <w:spacing w:line="460" w:lineRule="exact"/>
              <w:jc w:val="center"/>
              <w:rPr>
                <w:szCs w:val="21"/>
              </w:rPr>
            </w:pPr>
            <w:r>
              <w:rPr>
                <w:szCs w:val="21"/>
              </w:rPr>
              <w:t>1-1</w:t>
            </w:r>
          </w:p>
        </w:tc>
        <w:tc>
          <w:tcPr>
            <w:tcW w:w="2835" w:type="dxa"/>
            <w:vAlign w:val="center"/>
          </w:tcPr>
          <w:p>
            <w:pPr>
              <w:jc w:val="center"/>
              <w:rPr>
                <w:szCs w:val="21"/>
              </w:rPr>
            </w:pPr>
            <w:r>
              <w:rPr>
                <w:rFonts w:hint="eastAsia"/>
                <w:szCs w:val="21"/>
              </w:rPr>
              <w:t>福建工程学院内部控制评价与风险评估</w:t>
            </w:r>
          </w:p>
        </w:tc>
        <w:tc>
          <w:tcPr>
            <w:tcW w:w="708" w:type="dxa"/>
            <w:vAlign w:val="center"/>
          </w:tcPr>
          <w:p>
            <w:pPr>
              <w:adjustRightInd w:val="0"/>
              <w:snapToGrid w:val="0"/>
              <w:spacing w:line="460" w:lineRule="exact"/>
              <w:jc w:val="center"/>
              <w:rPr>
                <w:szCs w:val="21"/>
              </w:rPr>
            </w:pPr>
            <w:r>
              <w:rPr>
                <w:szCs w:val="21"/>
              </w:rPr>
              <w:t>1</w:t>
            </w:r>
          </w:p>
        </w:tc>
        <w:tc>
          <w:tcPr>
            <w:tcW w:w="1134" w:type="dxa"/>
            <w:vAlign w:val="center"/>
          </w:tcPr>
          <w:p>
            <w:pPr>
              <w:adjustRightInd w:val="0"/>
              <w:snapToGrid w:val="0"/>
              <w:spacing w:line="460" w:lineRule="exact"/>
              <w:jc w:val="center"/>
              <w:rPr>
                <w:szCs w:val="21"/>
              </w:rPr>
            </w:pPr>
            <w:r>
              <w:rPr>
                <w:rFonts w:hint="eastAsia"/>
                <w:szCs w:val="21"/>
              </w:rPr>
              <w:t>9.8</w:t>
            </w:r>
          </w:p>
        </w:tc>
        <w:tc>
          <w:tcPr>
            <w:tcW w:w="2977" w:type="dxa"/>
            <w:vAlign w:val="center"/>
          </w:tcPr>
          <w:p>
            <w:pPr>
              <w:adjustRightInd w:val="0"/>
              <w:snapToGrid w:val="0"/>
              <w:spacing w:line="460" w:lineRule="exact"/>
              <w:jc w:val="center"/>
              <w:rPr>
                <w:szCs w:val="21"/>
              </w:rPr>
            </w:pPr>
            <w:r>
              <w:rPr>
                <w:rFonts w:hint="eastAsia"/>
                <w:szCs w:val="21"/>
              </w:rPr>
              <w:t>详见第三部分磋商内容及要求</w:t>
            </w:r>
          </w:p>
        </w:tc>
        <w:tc>
          <w:tcPr>
            <w:tcW w:w="757" w:type="dxa"/>
            <w:vAlign w:val="center"/>
          </w:tcPr>
          <w:p>
            <w:pPr>
              <w:spacing w:line="4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0077" w:type="dxa"/>
            <w:gridSpan w:val="7"/>
            <w:vAlign w:val="center"/>
          </w:tcPr>
          <w:p>
            <w:pPr>
              <w:spacing w:line="320" w:lineRule="exact"/>
              <w:rPr>
                <w:rFonts w:ascii="宋体" w:hAnsi="宋体"/>
                <w:szCs w:val="21"/>
              </w:rPr>
            </w:pPr>
            <w:r>
              <w:rPr>
                <w:rFonts w:hint="eastAsia"/>
                <w:b/>
                <w:szCs w:val="21"/>
              </w:rPr>
              <w:t>报价方式：</w:t>
            </w:r>
            <w:r>
              <w:rPr>
                <w:rFonts w:hint="eastAsia"/>
                <w:szCs w:val="21"/>
              </w:rPr>
              <w:t>人民币报价；仅进行一次报价，不做二次报价；供应商报价超出最高限价者，按无效标处理。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0077" w:type="dxa"/>
            <w:gridSpan w:val="7"/>
            <w:vAlign w:val="center"/>
          </w:tcPr>
          <w:p>
            <w:pPr>
              <w:spacing w:line="320" w:lineRule="exact"/>
              <w:rPr>
                <w:szCs w:val="21"/>
              </w:rPr>
            </w:pPr>
            <w:r>
              <w:rPr>
                <w:rFonts w:hint="eastAsia"/>
                <w:b/>
                <w:szCs w:val="21"/>
              </w:rPr>
              <w:t>服务地点：</w:t>
            </w:r>
            <w:r>
              <w:rPr>
                <w:rFonts w:hint="eastAsia"/>
                <w:szCs w:val="21"/>
              </w:rPr>
              <w:t>福建工程学院指定地点</w:t>
            </w:r>
          </w:p>
        </w:tc>
      </w:tr>
    </w:tbl>
    <w:p>
      <w:pPr>
        <w:spacing w:line="440" w:lineRule="exact"/>
        <w:rPr>
          <w:rFonts w:ascii="宋体" w:hAnsi="宋体"/>
          <w:sz w:val="24"/>
        </w:rPr>
      </w:pPr>
      <w:r>
        <w:rPr>
          <w:rFonts w:hint="eastAsia" w:ascii="宋体" w:hAnsi="宋体"/>
          <w:sz w:val="24"/>
        </w:rPr>
        <w:t>注：</w:t>
      </w:r>
    </w:p>
    <w:p>
      <w:pPr>
        <w:spacing w:line="440" w:lineRule="exact"/>
        <w:rPr>
          <w:rFonts w:ascii="宋体" w:hAnsi="宋体" w:cs="宋体"/>
          <w:kern w:val="0"/>
          <w:szCs w:val="21"/>
        </w:rPr>
      </w:pPr>
      <w:r>
        <w:rPr>
          <w:rFonts w:hint="eastAsia" w:ascii="宋体" w:hAnsi="宋体" w:cs="宋体"/>
          <w:kern w:val="0"/>
          <w:szCs w:val="21"/>
        </w:rPr>
        <w:t>1、成交供应商不得转包他人，若发现转包，采购人有权终止合同，并追究相应法律责任。</w:t>
      </w:r>
    </w:p>
    <w:p>
      <w:pPr>
        <w:tabs>
          <w:tab w:val="right" w:pos="9723"/>
        </w:tabs>
        <w:spacing w:line="420" w:lineRule="exact"/>
        <w:rPr>
          <w:rFonts w:ascii="宋体" w:hAnsi="宋体"/>
          <w:szCs w:val="21"/>
        </w:rPr>
      </w:pPr>
      <w:r>
        <w:rPr>
          <w:rFonts w:ascii="宋体" w:hAnsi="宋体" w:cs="宋体"/>
          <w:kern w:val="0"/>
          <w:szCs w:val="21"/>
        </w:rPr>
        <w:t>2</w:t>
      </w:r>
      <w:r>
        <w:rPr>
          <w:rFonts w:hint="eastAsia" w:ascii="宋体" w:hAnsi="宋体" w:cs="宋体"/>
          <w:kern w:val="0"/>
          <w:szCs w:val="21"/>
        </w:rPr>
        <w:t>、</w:t>
      </w:r>
      <w:r>
        <w:rPr>
          <w:rFonts w:hint="eastAsia" w:ascii="宋体" w:hAnsi="宋体" w:cs="宋体"/>
          <w:szCs w:val="21"/>
        </w:rPr>
        <w:t>响应报价包括供应商为本项目服务的所有费用，含人员工资、税费、市内交通费、误餐补贴等。</w:t>
      </w:r>
    </w:p>
    <w:p>
      <w:pPr>
        <w:spacing w:line="420" w:lineRule="exact"/>
        <w:ind w:left="-78" w:leftChars="-37" w:firstLine="316" w:firstLineChars="150"/>
        <w:rPr>
          <w:rFonts w:ascii="宋体" w:hAnsi="宋体"/>
          <w:b/>
          <w:szCs w:val="21"/>
          <w:u w:val="single"/>
          <w:shd w:val="pct10" w:color="auto" w:fill="FFFFFF"/>
        </w:rPr>
      </w:pPr>
    </w:p>
    <w:p>
      <w:pPr>
        <w:spacing w:line="420" w:lineRule="exact"/>
        <w:ind w:left="-78" w:leftChars="-37" w:firstLine="316" w:firstLineChars="150"/>
        <w:rPr>
          <w:rFonts w:ascii="宋体" w:hAnsi="宋体"/>
          <w:b/>
          <w:szCs w:val="21"/>
          <w:u w:val="single"/>
          <w:shd w:val="pct10" w:color="auto" w:fill="FFFFFF"/>
        </w:rPr>
      </w:pPr>
    </w:p>
    <w:p>
      <w:pPr>
        <w:spacing w:line="420" w:lineRule="exact"/>
        <w:ind w:left="-78" w:leftChars="-37" w:firstLine="316" w:firstLineChars="150"/>
        <w:rPr>
          <w:rFonts w:ascii="宋体" w:hAnsi="宋体"/>
          <w:b/>
          <w:szCs w:val="21"/>
          <w:u w:val="single"/>
          <w:shd w:val="pct10" w:color="auto" w:fill="FFFFFF"/>
        </w:rPr>
      </w:pPr>
    </w:p>
    <w:p>
      <w:pPr>
        <w:spacing w:line="420" w:lineRule="exact"/>
        <w:ind w:left="-78" w:leftChars="-37" w:firstLine="316" w:firstLineChars="150"/>
        <w:rPr>
          <w:rFonts w:ascii="宋体" w:hAnsi="宋体"/>
          <w:b/>
          <w:szCs w:val="21"/>
          <w:u w:val="single"/>
          <w:shd w:val="pct10" w:color="auto" w:fill="FFFFFF"/>
        </w:rPr>
      </w:pPr>
    </w:p>
    <w:p>
      <w:pPr>
        <w:spacing w:line="420" w:lineRule="exact"/>
        <w:ind w:left="-78" w:leftChars="-37" w:firstLine="316" w:firstLineChars="150"/>
        <w:rPr>
          <w:rFonts w:ascii="宋体" w:hAnsi="宋体"/>
          <w:b/>
          <w:szCs w:val="21"/>
          <w:u w:val="single"/>
          <w:shd w:val="pct10" w:color="auto" w:fill="FFFFFF"/>
        </w:rPr>
      </w:pPr>
    </w:p>
    <w:p>
      <w:pPr>
        <w:spacing w:line="420" w:lineRule="exact"/>
        <w:ind w:left="-78" w:leftChars="-37" w:firstLine="316" w:firstLineChars="150"/>
        <w:rPr>
          <w:rFonts w:ascii="宋体" w:hAnsi="宋体"/>
          <w:b/>
          <w:szCs w:val="21"/>
          <w:u w:val="single"/>
          <w:shd w:val="pct10" w:color="auto" w:fill="FFFFFF"/>
        </w:rPr>
      </w:pPr>
    </w:p>
    <w:p>
      <w:pPr>
        <w:spacing w:line="420" w:lineRule="exact"/>
        <w:ind w:left="-78" w:leftChars="-37" w:firstLine="316" w:firstLineChars="150"/>
        <w:rPr>
          <w:rFonts w:ascii="宋体" w:hAnsi="宋体"/>
          <w:b/>
          <w:szCs w:val="21"/>
          <w:u w:val="single"/>
          <w:shd w:val="pct10" w:color="auto" w:fill="FFFFFF"/>
        </w:rPr>
      </w:pPr>
    </w:p>
    <w:p>
      <w:pPr>
        <w:spacing w:line="420" w:lineRule="exact"/>
        <w:ind w:left="-78" w:leftChars="-37" w:firstLine="316" w:firstLineChars="150"/>
        <w:rPr>
          <w:rFonts w:ascii="宋体" w:hAnsi="宋体"/>
          <w:b/>
          <w:szCs w:val="21"/>
          <w:u w:val="single"/>
          <w:shd w:val="pct10" w:color="auto" w:fill="FFFFFF"/>
        </w:rPr>
      </w:pPr>
    </w:p>
    <w:p>
      <w:pPr>
        <w:spacing w:line="420" w:lineRule="exact"/>
        <w:ind w:left="-78" w:leftChars="-37" w:firstLine="316" w:firstLineChars="150"/>
        <w:rPr>
          <w:rFonts w:ascii="宋体" w:hAnsi="宋体"/>
          <w:b/>
          <w:szCs w:val="21"/>
          <w:u w:val="single"/>
          <w:shd w:val="pct10" w:color="auto" w:fill="FFFFFF"/>
        </w:rPr>
      </w:pPr>
    </w:p>
    <w:p>
      <w:pPr>
        <w:spacing w:line="420" w:lineRule="exact"/>
        <w:ind w:left="-78" w:leftChars="-37" w:firstLine="316" w:firstLineChars="150"/>
        <w:rPr>
          <w:rFonts w:ascii="宋体" w:hAnsi="宋体"/>
          <w:b/>
          <w:szCs w:val="21"/>
          <w:u w:val="single"/>
          <w:shd w:val="pct10" w:color="auto" w:fill="FFFFFF"/>
        </w:rPr>
      </w:pPr>
    </w:p>
    <w:p>
      <w:pPr>
        <w:spacing w:line="420" w:lineRule="exact"/>
        <w:ind w:left="-78" w:leftChars="-37" w:firstLine="316" w:firstLineChars="150"/>
        <w:rPr>
          <w:rFonts w:ascii="宋体" w:hAnsi="宋体"/>
          <w:b/>
          <w:szCs w:val="21"/>
          <w:u w:val="single"/>
          <w:shd w:val="pct10" w:color="auto" w:fill="FFFFFF"/>
        </w:rPr>
      </w:pPr>
    </w:p>
    <w:p>
      <w:pPr>
        <w:spacing w:line="420" w:lineRule="exact"/>
        <w:ind w:left="-78" w:leftChars="-37" w:firstLine="316" w:firstLineChars="150"/>
        <w:rPr>
          <w:rFonts w:ascii="宋体" w:hAnsi="宋体"/>
          <w:b/>
          <w:szCs w:val="21"/>
          <w:u w:val="single"/>
          <w:shd w:val="pct10" w:color="auto" w:fill="FFFFFF"/>
        </w:rPr>
      </w:pPr>
    </w:p>
    <w:p>
      <w:pPr>
        <w:spacing w:line="420" w:lineRule="exact"/>
        <w:ind w:left="-78" w:leftChars="-37" w:firstLine="316" w:firstLineChars="150"/>
        <w:rPr>
          <w:rFonts w:ascii="宋体" w:hAnsi="宋体"/>
          <w:b/>
          <w:szCs w:val="21"/>
          <w:u w:val="single"/>
          <w:shd w:val="pct10" w:color="auto" w:fill="FFFFFF"/>
        </w:rPr>
      </w:pPr>
    </w:p>
    <w:p>
      <w:pPr>
        <w:spacing w:line="420" w:lineRule="exact"/>
        <w:rPr>
          <w:rFonts w:ascii="宋体" w:hAnsi="宋体"/>
          <w:b/>
          <w:szCs w:val="21"/>
          <w:u w:val="single"/>
          <w:shd w:val="pct10" w:color="auto" w:fill="FFFFFF"/>
        </w:rPr>
      </w:pPr>
    </w:p>
    <w:p>
      <w:pPr>
        <w:spacing w:line="420" w:lineRule="exact"/>
        <w:rPr>
          <w:rFonts w:ascii="宋体" w:hAnsi="宋体"/>
          <w:b/>
          <w:szCs w:val="21"/>
          <w:u w:val="single"/>
          <w:shd w:val="pct10" w:color="auto" w:fill="FFFFFF"/>
        </w:rPr>
      </w:pPr>
    </w:p>
    <w:p>
      <w:pPr>
        <w:spacing w:line="420" w:lineRule="exact"/>
        <w:rPr>
          <w:rFonts w:ascii="宋体" w:hAnsi="宋体"/>
          <w:b/>
          <w:szCs w:val="21"/>
          <w:u w:val="single"/>
          <w:shd w:val="pct10" w:color="auto" w:fill="FFFFFF"/>
        </w:rPr>
      </w:pPr>
    </w:p>
    <w:p>
      <w:pPr>
        <w:spacing w:line="420" w:lineRule="exact"/>
        <w:rPr>
          <w:rFonts w:ascii="宋体" w:hAnsi="宋体"/>
          <w:b/>
          <w:szCs w:val="21"/>
          <w:u w:val="single"/>
          <w:shd w:val="pct10" w:color="auto" w:fill="FFFFFF"/>
        </w:rPr>
      </w:pPr>
    </w:p>
    <w:p>
      <w:pPr>
        <w:spacing w:line="420" w:lineRule="exact"/>
        <w:rPr>
          <w:rFonts w:ascii="宋体" w:hAnsi="宋体"/>
          <w:b/>
          <w:szCs w:val="21"/>
          <w:u w:val="single"/>
          <w:shd w:val="pct10" w:color="auto" w:fill="FFFFFF"/>
        </w:rPr>
      </w:pPr>
    </w:p>
    <w:p>
      <w:pPr>
        <w:spacing w:line="420" w:lineRule="exact"/>
        <w:rPr>
          <w:rFonts w:ascii="宋体" w:hAnsi="宋体"/>
          <w:b/>
          <w:szCs w:val="21"/>
          <w:u w:val="single"/>
          <w:shd w:val="pct10" w:color="auto" w:fill="FFFFFF"/>
        </w:rPr>
      </w:pPr>
    </w:p>
    <w:p>
      <w:pPr>
        <w:spacing w:line="420" w:lineRule="exact"/>
        <w:rPr>
          <w:rFonts w:ascii="宋体" w:hAnsi="宋体"/>
          <w:b/>
          <w:szCs w:val="21"/>
          <w:u w:val="single"/>
          <w:shd w:val="pct10" w:color="auto" w:fill="FFFFFF"/>
        </w:rPr>
      </w:pPr>
    </w:p>
    <w:p>
      <w:pPr>
        <w:spacing w:line="420" w:lineRule="exact"/>
        <w:rPr>
          <w:rFonts w:ascii="宋体" w:hAnsi="宋体"/>
          <w:b/>
          <w:szCs w:val="21"/>
          <w:u w:val="single"/>
          <w:shd w:val="pct10" w:color="auto" w:fill="FFFFFF"/>
        </w:rPr>
      </w:pPr>
    </w:p>
    <w:p>
      <w:pPr>
        <w:tabs>
          <w:tab w:val="left" w:pos="4140"/>
        </w:tabs>
        <w:spacing w:line="0" w:lineRule="atLeast"/>
        <w:jc w:val="center"/>
        <w:rPr>
          <w:rFonts w:ascii="宋体" w:hAnsi="宋体"/>
          <w:b/>
          <w:sz w:val="44"/>
        </w:rPr>
      </w:pPr>
      <w:r>
        <w:rPr>
          <w:rFonts w:hint="eastAsia" w:ascii="宋体" w:hAnsi="宋体"/>
          <w:b/>
          <w:sz w:val="44"/>
        </w:rPr>
        <w:t>第二部分  供应商须知</w:t>
      </w:r>
    </w:p>
    <w:p>
      <w:pPr>
        <w:spacing w:line="520" w:lineRule="exact"/>
        <w:ind w:firstLine="480" w:firstLineChars="200"/>
        <w:rPr>
          <w:rFonts w:ascii="宋体" w:hAnsi="宋体"/>
          <w:sz w:val="24"/>
        </w:rPr>
      </w:pPr>
      <w:r>
        <w:rPr>
          <w:rFonts w:hint="eastAsia" w:ascii="宋体" w:hAnsi="宋体"/>
          <w:sz w:val="24"/>
        </w:rPr>
        <w:t>1．响应文件构成</w:t>
      </w:r>
    </w:p>
    <w:p>
      <w:pPr>
        <w:spacing w:line="520" w:lineRule="exact"/>
        <w:ind w:firstLine="597" w:firstLineChars="249"/>
        <w:rPr>
          <w:rFonts w:ascii="宋体" w:hAnsi="宋体"/>
          <w:b/>
          <w:sz w:val="44"/>
        </w:rPr>
      </w:pPr>
      <w:r>
        <w:rPr>
          <w:rFonts w:hint="eastAsia" w:ascii="宋体" w:hAnsi="宋体"/>
          <w:sz w:val="24"/>
        </w:rPr>
        <w:t>响应文件内容构成</w:t>
      </w:r>
      <w:r>
        <w:rPr>
          <w:rFonts w:hint="eastAsia" w:ascii="宋体" w:hAnsi="宋体"/>
          <w:b/>
          <w:sz w:val="28"/>
          <w:szCs w:val="28"/>
        </w:rPr>
        <w:t>按响应文件格式目录的要求编制装订</w:t>
      </w:r>
      <w:r>
        <w:rPr>
          <w:rFonts w:hint="eastAsia" w:ascii="宋体" w:hAnsi="宋体"/>
          <w:sz w:val="24"/>
        </w:rPr>
        <w:t>（要求供应商按顺序编制目录装订成册，否则文件失散以及由此而引起的后果由供应商自负）。</w:t>
      </w:r>
    </w:p>
    <w:p>
      <w:pPr>
        <w:spacing w:line="520" w:lineRule="exact"/>
        <w:ind w:firstLine="480" w:firstLineChars="200"/>
        <w:rPr>
          <w:rFonts w:ascii="宋体" w:hAnsi="宋体"/>
          <w:sz w:val="24"/>
        </w:rPr>
      </w:pPr>
      <w:r>
        <w:rPr>
          <w:rFonts w:hint="eastAsia" w:ascii="宋体" w:hAnsi="宋体"/>
          <w:sz w:val="24"/>
        </w:rPr>
        <w:t>供应商应仔细阅读磋商文件的所有内容，按磋商文件的要求提供响应文件，并保证所提供的全部资料的真实性，以使其投标对磋商文件做出实质性响应，否则，其投标将被拒绝。</w:t>
      </w:r>
    </w:p>
    <w:p>
      <w:pPr>
        <w:spacing w:line="520" w:lineRule="exact"/>
        <w:ind w:firstLine="480" w:firstLineChars="200"/>
        <w:rPr>
          <w:rFonts w:ascii="宋体" w:hAnsi="宋体"/>
          <w:sz w:val="24"/>
        </w:rPr>
      </w:pPr>
      <w:r>
        <w:rPr>
          <w:rFonts w:hint="eastAsia" w:ascii="宋体" w:hAnsi="宋体"/>
          <w:sz w:val="24"/>
        </w:rPr>
        <w:t>2．响应文件的封装</w:t>
      </w:r>
    </w:p>
    <w:p>
      <w:pPr>
        <w:spacing w:line="520" w:lineRule="exact"/>
        <w:ind w:firstLine="480" w:firstLineChars="200"/>
        <w:rPr>
          <w:rFonts w:ascii="宋体" w:hAnsi="宋体"/>
          <w:sz w:val="24"/>
        </w:rPr>
      </w:pPr>
      <w:r>
        <w:rPr>
          <w:rFonts w:hint="eastAsia" w:ascii="宋体" w:hAnsi="宋体"/>
          <w:sz w:val="24"/>
        </w:rPr>
        <w:t>2.1供应商须按要求制作标书，响应文件包括正本1份，副本1份（请标明“正本”或“副本”字样），开标时以正本为准，响应文件须用A4纸打印并装订成册，装袋密封（封口加盖印鉴）。外包装封面上均要注明招标单位、招标项目名称、招标编号、投标单位（盖公章）、法定代表人（或投标代表）签字，注明“开标时才能启封”的字样。未按本要求密封、标记和投递的响应文件，采购人有权拒收,按无效标处理。</w:t>
      </w:r>
    </w:p>
    <w:p>
      <w:pPr>
        <w:spacing w:line="520" w:lineRule="exact"/>
        <w:ind w:firstLine="480" w:firstLineChars="200"/>
        <w:rPr>
          <w:rFonts w:ascii="宋体" w:hAnsi="宋体"/>
          <w:sz w:val="24"/>
        </w:rPr>
      </w:pPr>
      <w:r>
        <w:rPr>
          <w:rFonts w:hint="eastAsia" w:ascii="宋体" w:hAnsi="宋体"/>
          <w:sz w:val="24"/>
        </w:rPr>
        <w:t>3．开标、评标程序与标准</w:t>
      </w:r>
    </w:p>
    <w:p>
      <w:pPr>
        <w:spacing w:line="520" w:lineRule="exact"/>
        <w:ind w:firstLine="480" w:firstLineChars="200"/>
        <w:rPr>
          <w:rFonts w:ascii="宋体" w:hAnsi="宋体"/>
          <w:sz w:val="24"/>
        </w:rPr>
      </w:pPr>
      <w:r>
        <w:rPr>
          <w:rFonts w:hint="eastAsia" w:ascii="宋体" w:hAnsi="宋体"/>
          <w:sz w:val="24"/>
        </w:rPr>
        <w:t>3．1开标、评标于2023年2月27日上午9:00</w:t>
      </w:r>
      <w:r>
        <w:rPr>
          <w:rFonts w:hint="eastAsia" w:ascii="宋体" w:hAnsi="宋体"/>
          <w:sz w:val="24"/>
          <w:highlight w:val="none"/>
        </w:rPr>
        <w:t>在</w:t>
      </w:r>
      <w:r>
        <w:rPr>
          <w:rFonts w:hint="eastAsia" w:ascii="宋体" w:hAnsi="宋体"/>
          <w:b/>
          <w:sz w:val="28"/>
          <w:szCs w:val="28"/>
          <w:highlight w:val="none"/>
        </w:rPr>
        <w:t>福建省福州市</w:t>
      </w:r>
      <w:r>
        <w:rPr>
          <w:rFonts w:hint="eastAsia" w:cs="仿宋" w:asciiTheme="minorEastAsia" w:hAnsiTheme="minorEastAsia" w:eastAsiaTheme="minorEastAsia"/>
          <w:sz w:val="24"/>
          <w:szCs w:val="24"/>
          <w:highlight w:val="none"/>
        </w:rPr>
        <w:t>闽侯县上街镇</w:t>
      </w:r>
      <w:r>
        <w:rPr>
          <w:rFonts w:hint="eastAsia" w:ascii="宋体" w:hAnsi="宋体"/>
          <w:b/>
          <w:sz w:val="28"/>
          <w:szCs w:val="28"/>
          <w:highlight w:val="none"/>
        </w:rPr>
        <w:t>学府南路69号</w:t>
      </w:r>
      <w:r>
        <w:rPr>
          <w:rStyle w:val="26"/>
          <w:rFonts w:hint="eastAsia" w:ascii="宋体" w:hAnsi="宋体"/>
          <w:b/>
          <w:color w:val="auto"/>
          <w:sz w:val="28"/>
          <w:szCs w:val="28"/>
          <w:highlight w:val="none"/>
        </w:rPr>
        <w:t>福建工程学院北区</w:t>
      </w:r>
      <w:r>
        <w:rPr>
          <w:rFonts w:hint="eastAsia" w:ascii="宋体" w:hAnsi="宋体"/>
          <w:b/>
          <w:sz w:val="28"/>
          <w:szCs w:val="28"/>
          <w:highlight w:val="none"/>
        </w:rPr>
        <w:t>图书馆13楼1303审计室</w:t>
      </w:r>
      <w:r>
        <w:rPr>
          <w:rFonts w:hint="eastAsia" w:ascii="宋体" w:hAnsi="宋体"/>
          <w:sz w:val="24"/>
          <w:highlight w:val="none"/>
        </w:rPr>
        <w:t>进行。福建工程学院将根据本次项目的特点组建评标小组负责评标，评标的依据为招响应文件，遵</w:t>
      </w:r>
      <w:r>
        <w:rPr>
          <w:rFonts w:hint="eastAsia" w:ascii="宋体" w:hAnsi="宋体"/>
          <w:sz w:val="24"/>
        </w:rPr>
        <w:t>循公平、公正、公开、科学、择优的原则。</w:t>
      </w:r>
    </w:p>
    <w:p>
      <w:pPr>
        <w:spacing w:line="520" w:lineRule="exact"/>
        <w:ind w:firstLine="480" w:firstLineChars="200"/>
        <w:rPr>
          <w:rFonts w:ascii="宋体" w:hAnsi="宋体"/>
          <w:sz w:val="24"/>
        </w:rPr>
      </w:pPr>
      <w:r>
        <w:rPr>
          <w:rFonts w:hint="eastAsia" w:ascii="宋体" w:hAnsi="宋体"/>
          <w:sz w:val="24"/>
        </w:rPr>
        <w:t>3．2开标程序：</w:t>
      </w:r>
    </w:p>
    <w:p>
      <w:pPr>
        <w:spacing w:line="520" w:lineRule="exact"/>
        <w:ind w:firstLine="480" w:firstLineChars="200"/>
        <w:rPr>
          <w:rFonts w:ascii="宋体" w:hAnsi="宋体"/>
          <w:sz w:val="24"/>
        </w:rPr>
      </w:pPr>
      <w:r>
        <w:rPr>
          <w:rFonts w:hint="eastAsia" w:ascii="宋体" w:hAnsi="宋体"/>
          <w:sz w:val="24"/>
        </w:rPr>
        <w:t>（1）检查响应文件的密封情况；</w:t>
      </w:r>
    </w:p>
    <w:p>
      <w:pPr>
        <w:spacing w:line="520" w:lineRule="exact"/>
        <w:ind w:firstLine="480" w:firstLineChars="200"/>
        <w:rPr>
          <w:rFonts w:ascii="宋体" w:hAnsi="宋体"/>
          <w:sz w:val="24"/>
        </w:rPr>
      </w:pPr>
      <w:r>
        <w:rPr>
          <w:rFonts w:hint="eastAsia" w:ascii="宋体" w:hAnsi="宋体"/>
          <w:sz w:val="24"/>
        </w:rPr>
        <w:t>（2）开标工作人员当众开启响应文件密封袋；</w:t>
      </w:r>
    </w:p>
    <w:p>
      <w:pPr>
        <w:spacing w:line="520" w:lineRule="exact"/>
        <w:ind w:firstLine="480" w:firstLineChars="200"/>
        <w:rPr>
          <w:rFonts w:ascii="宋体" w:hAnsi="宋体"/>
          <w:strike/>
          <w:color w:val="FF0000"/>
          <w:sz w:val="24"/>
        </w:rPr>
      </w:pPr>
      <w:r>
        <w:rPr>
          <w:rFonts w:hint="eastAsia" w:ascii="宋体" w:hAnsi="宋体"/>
          <w:sz w:val="24"/>
        </w:rPr>
        <w:t>（3）开标工作人员核对正副本无误后，将响应文件正副本送往评标小组，由评标小组进行独立的评议；</w:t>
      </w:r>
    </w:p>
    <w:p>
      <w:pPr>
        <w:spacing w:line="520" w:lineRule="exact"/>
        <w:ind w:firstLine="480" w:firstLineChars="200"/>
        <w:rPr>
          <w:rFonts w:ascii="宋体" w:hAnsi="宋体"/>
          <w:sz w:val="24"/>
        </w:rPr>
      </w:pPr>
      <w:r>
        <w:rPr>
          <w:rFonts w:hint="eastAsia" w:ascii="宋体" w:hAnsi="宋体"/>
          <w:sz w:val="24"/>
        </w:rPr>
        <w:t>3．3评标程序如下：</w:t>
      </w:r>
    </w:p>
    <w:p>
      <w:pPr>
        <w:numPr>
          <w:ilvl w:val="0"/>
          <w:numId w:val="3"/>
        </w:numPr>
        <w:spacing w:line="520" w:lineRule="exact"/>
        <w:ind w:firstLine="480" w:firstLineChars="200"/>
        <w:rPr>
          <w:rFonts w:ascii="宋体" w:hAnsi="宋体"/>
          <w:sz w:val="24"/>
        </w:rPr>
      </w:pPr>
      <w:r>
        <w:rPr>
          <w:rFonts w:hint="eastAsia" w:ascii="宋体" w:hAnsi="宋体"/>
          <w:sz w:val="24"/>
        </w:rPr>
        <w:t>评标主持人介绍评委并宣布有关事项要求；</w:t>
      </w:r>
    </w:p>
    <w:p>
      <w:pPr>
        <w:numPr>
          <w:ilvl w:val="0"/>
          <w:numId w:val="3"/>
        </w:numPr>
        <w:spacing w:line="520" w:lineRule="exact"/>
        <w:ind w:firstLine="480" w:firstLineChars="200"/>
        <w:rPr>
          <w:rFonts w:ascii="宋体" w:hAnsi="宋体"/>
          <w:sz w:val="24"/>
        </w:rPr>
      </w:pPr>
      <w:r>
        <w:rPr>
          <w:rFonts w:hint="eastAsia" w:ascii="宋体" w:hAnsi="宋体"/>
          <w:sz w:val="24"/>
        </w:rPr>
        <w:t>资格性检查：依据法律法规和磋商文件的规定，在对响应文件详细评审之前，评标委员会将依据供应商提交的响应文件所述的资格标准对供应商进行资格审查, 以确定其是否具备投标资格。如果供应商不具备投标资格，不满足磋商文件所规定的资格标准或提供资格证明文件不全的, 其投标将被拒绝。</w:t>
      </w:r>
    </w:p>
    <w:p>
      <w:pPr>
        <w:numPr>
          <w:ilvl w:val="0"/>
          <w:numId w:val="3"/>
        </w:numPr>
        <w:spacing w:line="520" w:lineRule="exact"/>
        <w:ind w:firstLine="480" w:firstLineChars="200"/>
        <w:rPr>
          <w:rFonts w:ascii="宋体" w:hAnsi="宋体"/>
          <w:sz w:val="24"/>
        </w:rPr>
      </w:pPr>
      <w:r>
        <w:rPr>
          <w:rFonts w:hint="eastAsia" w:ascii="宋体" w:hAnsi="宋体"/>
          <w:sz w:val="24"/>
        </w:rPr>
        <w:t>符合性检查：依据磋商文件的规定，评标委员会还将从响应文件的有效性、完整性和对磋商文件的响应程度进行审查，以确定是否有对磋商文件的实质性要求作出响应。凡有下列情况之一者，响应文件将被视为未实质性响应磋商文件要求：</w:t>
      </w:r>
    </w:p>
    <w:p>
      <w:pPr>
        <w:spacing w:line="420" w:lineRule="exact"/>
        <w:ind w:firstLine="480" w:firstLineChars="200"/>
        <w:rPr>
          <w:rFonts w:ascii="宋体" w:hAnsi="宋体"/>
          <w:sz w:val="24"/>
        </w:rPr>
      </w:pPr>
      <w:r>
        <w:rPr>
          <w:rFonts w:hint="eastAsia" w:ascii="宋体" w:hAnsi="宋体"/>
          <w:sz w:val="24"/>
        </w:rPr>
        <w:t>①响应文件未按照磋商文件的规定进行制作、密封、标记的；</w:t>
      </w:r>
    </w:p>
    <w:p>
      <w:pPr>
        <w:spacing w:line="420" w:lineRule="exact"/>
        <w:ind w:firstLine="480" w:firstLineChars="200"/>
        <w:rPr>
          <w:rFonts w:ascii="宋体" w:hAnsi="宋体"/>
          <w:sz w:val="24"/>
        </w:rPr>
      </w:pPr>
      <w:r>
        <w:rPr>
          <w:rFonts w:hint="eastAsia" w:ascii="宋体" w:hAnsi="宋体"/>
          <w:sz w:val="24"/>
        </w:rPr>
        <w:t>②未按规定由供应商的法定代表人或其授权代表签字，或未加盖供应商公章的，或签字人未经法定代表人有效授权委托的；</w:t>
      </w:r>
    </w:p>
    <w:p>
      <w:pPr>
        <w:spacing w:line="420" w:lineRule="exact"/>
        <w:ind w:firstLine="480" w:firstLineChars="200"/>
        <w:rPr>
          <w:rFonts w:ascii="宋体" w:hAnsi="宋体"/>
          <w:sz w:val="24"/>
        </w:rPr>
      </w:pPr>
      <w:r>
        <w:rPr>
          <w:rFonts w:hint="eastAsia" w:ascii="宋体" w:hAnsi="宋体"/>
          <w:sz w:val="24"/>
        </w:rPr>
        <w:t>③供应商提交的是可选择的报价；</w:t>
      </w:r>
    </w:p>
    <w:p>
      <w:pPr>
        <w:spacing w:line="420" w:lineRule="exact"/>
        <w:ind w:firstLine="480" w:firstLineChars="200"/>
        <w:rPr>
          <w:rFonts w:ascii="宋体" w:hAnsi="宋体"/>
          <w:sz w:val="24"/>
        </w:rPr>
      </w:pPr>
      <w:r>
        <w:rPr>
          <w:rFonts w:hint="eastAsia" w:ascii="宋体" w:hAnsi="宋体"/>
          <w:sz w:val="24"/>
        </w:rPr>
        <w:t>④响应文件组成不符合磋商文件要求的；</w:t>
      </w:r>
    </w:p>
    <w:p>
      <w:pPr>
        <w:spacing w:line="420" w:lineRule="exact"/>
        <w:ind w:firstLine="480" w:firstLineChars="200"/>
        <w:rPr>
          <w:rFonts w:ascii="宋体" w:hAnsi="宋体"/>
          <w:sz w:val="24"/>
        </w:rPr>
      </w:pPr>
      <w:r>
        <w:rPr>
          <w:rFonts w:hint="eastAsia" w:ascii="宋体" w:hAnsi="宋体"/>
          <w:sz w:val="24"/>
        </w:rPr>
        <w:t>⑤响应文件中提供虚假或失实资料的；</w:t>
      </w:r>
    </w:p>
    <w:p>
      <w:pPr>
        <w:spacing w:line="420" w:lineRule="exact"/>
        <w:ind w:firstLine="480" w:firstLineChars="200"/>
        <w:rPr>
          <w:rFonts w:ascii="宋体" w:hAnsi="宋体"/>
          <w:sz w:val="24"/>
        </w:rPr>
      </w:pPr>
      <w:r>
        <w:rPr>
          <w:rFonts w:hint="eastAsia" w:ascii="宋体" w:hAnsi="宋体"/>
          <w:sz w:val="24"/>
        </w:rPr>
        <w:t>⑥不符合磋商文件中规定的其它实质性条款。</w:t>
      </w:r>
    </w:p>
    <w:p>
      <w:pPr>
        <w:numPr>
          <w:ilvl w:val="0"/>
          <w:numId w:val="3"/>
        </w:numPr>
        <w:spacing w:line="520" w:lineRule="exact"/>
        <w:ind w:firstLine="480" w:firstLineChars="200"/>
        <w:rPr>
          <w:rFonts w:ascii="宋体" w:hAnsi="宋体"/>
          <w:sz w:val="24"/>
        </w:rPr>
      </w:pPr>
      <w:r>
        <w:rPr>
          <w:rFonts w:hint="eastAsia" w:ascii="宋体" w:hAnsi="宋体"/>
          <w:sz w:val="24"/>
        </w:rPr>
        <w:t>详细评审：评标委员会将对通过资格及响应性审查的各合格供应商根据以下标准和方法(附件：评分标准表)进行评审。评审期间可书面向供应商提出有关问题；</w:t>
      </w:r>
    </w:p>
    <w:p>
      <w:pPr>
        <w:spacing w:line="520" w:lineRule="exact"/>
        <w:ind w:firstLine="480" w:firstLineChars="200"/>
        <w:rPr>
          <w:rFonts w:ascii="宋体" w:hAnsi="宋体"/>
          <w:b/>
          <w:sz w:val="24"/>
        </w:rPr>
      </w:pPr>
      <w:r>
        <w:rPr>
          <w:rFonts w:hint="eastAsia" w:ascii="宋体" w:hAnsi="宋体"/>
          <w:sz w:val="24"/>
        </w:rPr>
        <w:t>（5）评委在独自评审完所有投标单位的响应文件后，由工作人员统计各评委的评分（总分100分），得出排名表，按综合得分从高分到低分的原则评出前1家中标候选单位</w:t>
      </w:r>
      <w:r>
        <w:rPr>
          <w:rFonts w:hint="eastAsia" w:ascii="宋体" w:hAnsi="宋体"/>
          <w:b/>
          <w:sz w:val="24"/>
        </w:rPr>
        <w:t>。</w:t>
      </w:r>
    </w:p>
    <w:p>
      <w:pPr>
        <w:spacing w:line="520" w:lineRule="exact"/>
        <w:ind w:firstLine="480" w:firstLineChars="200"/>
        <w:rPr>
          <w:rFonts w:ascii="宋体" w:hAnsi="宋体"/>
          <w:sz w:val="24"/>
        </w:rPr>
      </w:pPr>
      <w:r>
        <w:rPr>
          <w:rFonts w:hint="eastAsia" w:ascii="宋体" w:hAnsi="宋体" w:cs="宋体"/>
          <w:kern w:val="0"/>
          <w:sz w:val="24"/>
        </w:rPr>
        <w:t>（6）若有效标不足3家，本次磋商作流标处理；</w:t>
      </w:r>
    </w:p>
    <w:p>
      <w:pPr>
        <w:spacing w:line="520" w:lineRule="exact"/>
        <w:rPr>
          <w:rFonts w:ascii="宋体" w:hAnsi="宋体"/>
          <w:sz w:val="24"/>
        </w:rPr>
      </w:pPr>
      <w:r>
        <w:rPr>
          <w:rFonts w:hint="eastAsia" w:ascii="宋体" w:hAnsi="宋体"/>
          <w:sz w:val="24"/>
        </w:rPr>
        <w:t xml:space="preserve">    4．定标、公示、签约</w:t>
      </w:r>
    </w:p>
    <w:p>
      <w:pPr>
        <w:spacing w:line="520" w:lineRule="exact"/>
        <w:rPr>
          <w:rFonts w:ascii="宋体" w:hAnsi="宋体"/>
          <w:sz w:val="24"/>
        </w:rPr>
      </w:pPr>
      <w:r>
        <w:rPr>
          <w:rFonts w:hint="eastAsia" w:ascii="宋体" w:hAnsi="宋体"/>
          <w:sz w:val="24"/>
        </w:rPr>
        <w:t xml:space="preserve">    4.1 福建工程学院将视情况对成交供应商进行实地考察或到相关行政主管部门核查。实地考察或核查时，若发现中标候选单位的实际情况与其响应文件所述情况不符者，即可取消其中标候选单位资格，并推荐排名靠后的单位入选。</w:t>
      </w:r>
    </w:p>
    <w:p>
      <w:pPr>
        <w:spacing w:line="520" w:lineRule="exact"/>
        <w:rPr>
          <w:rFonts w:ascii="宋体" w:hAnsi="宋体"/>
          <w:sz w:val="24"/>
        </w:rPr>
      </w:pPr>
      <w:r>
        <w:rPr>
          <w:rFonts w:hint="eastAsia" w:ascii="宋体" w:hAnsi="宋体"/>
          <w:sz w:val="24"/>
        </w:rPr>
        <w:t xml:space="preserve">    4.2 采购人发布中标公告，公告3天期满无异议，学校即向中选单位发出成交结果确认函。</w:t>
      </w:r>
    </w:p>
    <w:p>
      <w:pPr>
        <w:spacing w:line="460" w:lineRule="exact"/>
        <w:ind w:firstLine="480"/>
        <w:rPr>
          <w:rFonts w:ascii="宋体" w:hAnsi="宋体"/>
          <w:sz w:val="24"/>
        </w:rPr>
      </w:pPr>
      <w:r>
        <w:rPr>
          <w:rFonts w:hint="eastAsia" w:ascii="宋体" w:hAnsi="宋体"/>
          <w:sz w:val="24"/>
        </w:rPr>
        <w:t>4.3 中选单位收到成交结果确认函10天内须来校，根据</w:t>
      </w:r>
      <w:r>
        <w:rPr>
          <w:rFonts w:hint="eastAsia" w:ascii="宋体" w:hAnsi="宋体" w:cs="宋体"/>
          <w:sz w:val="24"/>
          <w:szCs w:val="24"/>
        </w:rPr>
        <w:t>磋商文件</w:t>
      </w:r>
      <w:r>
        <w:rPr>
          <w:rFonts w:hint="eastAsia" w:ascii="宋体" w:hAnsi="宋体"/>
          <w:sz w:val="24"/>
        </w:rPr>
        <w:t>、响应文件及相关规定与我校办理签约手续。</w:t>
      </w:r>
    </w:p>
    <w:p>
      <w:pPr>
        <w:widowControl/>
        <w:spacing w:line="400" w:lineRule="exact"/>
        <w:ind w:right="600"/>
        <w:rPr>
          <w:rFonts w:ascii="仿宋_GB2312" w:eastAsia="仿宋_GB2312"/>
          <w:b/>
          <w:bCs/>
          <w:sz w:val="30"/>
          <w:szCs w:val="30"/>
        </w:rPr>
      </w:pPr>
      <w:r>
        <w:rPr>
          <w:rFonts w:hint="eastAsia" w:ascii="仿宋_GB2312" w:eastAsia="仿宋_GB2312"/>
          <w:b/>
          <w:bCs/>
          <w:sz w:val="30"/>
          <w:szCs w:val="30"/>
        </w:rPr>
        <w:t>附件：评分标准表</w:t>
      </w:r>
    </w:p>
    <w:p>
      <w:pPr>
        <w:widowControl/>
        <w:spacing w:line="375" w:lineRule="atLeast"/>
        <w:jc w:val="center"/>
        <w:rPr>
          <w:rFonts w:ascii="宋体" w:hAnsi="宋体"/>
          <w:sz w:val="24"/>
          <w:szCs w:val="24"/>
        </w:rPr>
      </w:pPr>
      <w:r>
        <w:rPr>
          <w:rFonts w:hint="eastAsia" w:ascii="宋体" w:hAnsi="宋体"/>
          <w:sz w:val="24"/>
          <w:szCs w:val="24"/>
        </w:rPr>
        <w:t>福建工程学院</w:t>
      </w:r>
      <w:r>
        <w:rPr>
          <w:rFonts w:hint="eastAsia" w:ascii="宋体" w:hAnsi="宋体" w:cs="仿宋"/>
          <w:sz w:val="24"/>
          <w:szCs w:val="24"/>
        </w:rPr>
        <w:t>内部控制评价与风险评估</w:t>
      </w:r>
      <w:r>
        <w:rPr>
          <w:rFonts w:hint="eastAsia" w:ascii="宋体" w:hAnsi="宋体"/>
          <w:sz w:val="24"/>
          <w:szCs w:val="24"/>
        </w:rPr>
        <w:t>服务采购项目</w:t>
      </w:r>
    </w:p>
    <w:p>
      <w:pPr>
        <w:widowControl/>
        <w:spacing w:line="375" w:lineRule="atLeast"/>
        <w:jc w:val="center"/>
        <w:rPr>
          <w:rFonts w:ascii="黑体" w:hAnsi="黑体" w:eastAsia="黑体" w:cs="黑体"/>
          <w:b/>
          <w:bCs/>
          <w:kern w:val="0"/>
          <w:sz w:val="30"/>
          <w:szCs w:val="30"/>
        </w:rPr>
      </w:pPr>
      <w:r>
        <w:rPr>
          <w:rFonts w:hint="eastAsia" w:ascii="黑体" w:hAnsi="黑体" w:eastAsia="黑体" w:cs="黑体"/>
          <w:b/>
          <w:bCs/>
          <w:kern w:val="0"/>
          <w:sz w:val="30"/>
          <w:szCs w:val="30"/>
        </w:rPr>
        <w:t>综合评分表</w:t>
      </w:r>
    </w:p>
    <w:p>
      <w:pPr>
        <w:adjustRightInd w:val="0"/>
        <w:snapToGrid w:val="0"/>
        <w:spacing w:line="460" w:lineRule="atLeast"/>
        <w:rPr>
          <w:rFonts w:ascii="宋体" w:hAnsi="宋体"/>
          <w:b/>
          <w:szCs w:val="21"/>
        </w:rPr>
      </w:pPr>
      <w:r>
        <w:rPr>
          <w:rFonts w:hint="eastAsia" w:ascii="宋体" w:hAnsi="宋体"/>
          <w:b/>
          <w:szCs w:val="21"/>
        </w:rPr>
        <w:t>本项目采用综合评分法进行评议，各部分评分分值分布如下：</w:t>
      </w:r>
    </w:p>
    <w:p>
      <w:pPr>
        <w:adjustRightInd w:val="0"/>
        <w:snapToGrid w:val="0"/>
        <w:spacing w:line="460" w:lineRule="atLeast"/>
        <w:rPr>
          <w:rFonts w:ascii="宋体" w:hAnsi="宋体"/>
          <w:szCs w:val="21"/>
        </w:rPr>
      </w:pPr>
      <w:r>
        <w:rPr>
          <w:rFonts w:hint="eastAsia" w:ascii="宋体" w:hAnsi="宋体"/>
          <w:szCs w:val="21"/>
        </w:rPr>
        <w:t>A：技术部分评分    满分70分</w:t>
      </w:r>
    </w:p>
    <w:p>
      <w:pPr>
        <w:adjustRightInd w:val="0"/>
        <w:snapToGrid w:val="0"/>
        <w:spacing w:line="460" w:lineRule="atLeast"/>
        <w:rPr>
          <w:rFonts w:ascii="宋体" w:hAnsi="宋体"/>
          <w:szCs w:val="21"/>
        </w:rPr>
      </w:pPr>
      <w:r>
        <w:rPr>
          <w:rFonts w:hint="eastAsia" w:ascii="宋体" w:hAnsi="宋体"/>
          <w:szCs w:val="21"/>
        </w:rPr>
        <w:t>B：商务部分评分满分20分</w:t>
      </w:r>
    </w:p>
    <w:p>
      <w:pPr>
        <w:adjustRightInd w:val="0"/>
        <w:snapToGrid w:val="0"/>
        <w:spacing w:line="460" w:lineRule="atLeast"/>
        <w:rPr>
          <w:rFonts w:ascii="宋体" w:hAnsi="宋体"/>
          <w:szCs w:val="21"/>
        </w:rPr>
      </w:pPr>
      <w:r>
        <w:rPr>
          <w:rFonts w:hint="eastAsia" w:ascii="宋体" w:hAnsi="宋体"/>
          <w:szCs w:val="21"/>
        </w:rPr>
        <w:t>C：报价部分评分               满分10分</w:t>
      </w:r>
    </w:p>
    <w:p>
      <w:pPr>
        <w:spacing w:line="440" w:lineRule="exact"/>
        <w:rPr>
          <w:rFonts w:ascii="Arial" w:hAnsi="Arial"/>
          <w:szCs w:val="21"/>
        </w:rPr>
      </w:pPr>
      <w:r>
        <w:rPr>
          <w:rFonts w:hint="eastAsia" w:ascii="宋体" w:hAnsi="宋体"/>
          <w:szCs w:val="21"/>
        </w:rPr>
        <w:t>综合得分为：A+B+C+D+E</w:t>
      </w:r>
    </w:p>
    <w:tbl>
      <w:tblPr>
        <w:tblStyle w:val="11"/>
        <w:tblW w:w="94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2"/>
        <w:gridCol w:w="210"/>
        <w:gridCol w:w="688"/>
        <w:gridCol w:w="6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序号</w:t>
            </w:r>
          </w:p>
        </w:tc>
        <w:tc>
          <w:tcPr>
            <w:tcW w:w="162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评标项目</w:t>
            </w:r>
          </w:p>
        </w:tc>
        <w:tc>
          <w:tcPr>
            <w:tcW w:w="898"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评标权重</w:t>
            </w:r>
          </w:p>
        </w:tc>
        <w:tc>
          <w:tcPr>
            <w:tcW w:w="623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71" w:type="dxa"/>
            <w:gridSpan w:val="5"/>
            <w:tcBorders>
              <w:top w:val="single" w:color="auto" w:sz="4" w:space="0"/>
              <w:left w:val="single" w:color="auto" w:sz="4" w:space="0"/>
              <w:bottom w:val="single" w:color="auto" w:sz="4" w:space="0"/>
              <w:right w:val="single" w:color="auto" w:sz="4" w:space="0"/>
            </w:tcBorders>
          </w:tcPr>
          <w:p>
            <w:pPr>
              <w:spacing w:line="480" w:lineRule="exact"/>
              <w:rPr>
                <w:rFonts w:ascii="宋体" w:hAnsi="宋体"/>
                <w:szCs w:val="21"/>
              </w:rPr>
            </w:pPr>
            <w:r>
              <w:rPr>
                <w:rFonts w:hint="eastAsia" w:ascii="宋体" w:hAnsi="宋体"/>
                <w:b/>
                <w:spacing w:val="-2"/>
                <w:szCs w:val="21"/>
                <w:shd w:val="pct10" w:color="auto" w:fill="FFFFFF"/>
              </w:rPr>
              <w:t>第一阶段技术商务部分的评标：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szCs w:val="21"/>
              </w:rPr>
            </w:pPr>
            <w:r>
              <w:rPr>
                <w:rFonts w:hint="eastAsia" w:ascii="宋体" w:hAnsi="宋体"/>
                <w:szCs w:val="21"/>
              </w:rPr>
              <w:t>一</w:t>
            </w:r>
          </w:p>
        </w:tc>
        <w:tc>
          <w:tcPr>
            <w:tcW w:w="8751"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宋体" w:hAnsi="宋体"/>
                <w:b/>
                <w:szCs w:val="21"/>
              </w:rPr>
            </w:pPr>
            <w:r>
              <w:rPr>
                <w:rFonts w:hint="eastAsia" w:ascii="宋体" w:hAnsi="宋体"/>
                <w:b/>
                <w:szCs w:val="21"/>
              </w:rPr>
              <w:t>技术部分评分（A满分70分）</w:t>
            </w:r>
          </w:p>
          <w:p>
            <w:pPr>
              <w:spacing w:line="480" w:lineRule="exact"/>
              <w:rPr>
                <w:rFonts w:ascii="宋体" w:hAnsi="宋体"/>
                <w:b/>
                <w:szCs w:val="21"/>
              </w:rPr>
            </w:pPr>
            <w:r>
              <w:rPr>
                <w:rFonts w:hint="eastAsia" w:ascii="宋体" w:hAnsi="宋体"/>
                <w:b/>
                <w:szCs w:val="21"/>
                <w:shd w:val="pct10" w:color="auto" w:fill="FFFFFF"/>
              </w:rPr>
              <w:t>注：按照闽财购〔2010〕28号文件规定，若供应商的技术部分（A项）实际得分少于磋商文件设定的技术部分总分50%（即35分），即视为技术部分未实质性响应磋商文件要求，不推荐为成交供应商。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A1</w:t>
            </w:r>
          </w:p>
        </w:tc>
        <w:tc>
          <w:tcPr>
            <w:tcW w:w="183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bCs/>
                <w:szCs w:val="21"/>
              </w:rPr>
            </w:pPr>
            <w:r>
              <w:rPr>
                <w:rFonts w:hint="eastAsia" w:ascii="宋体" w:hAnsi="宋体" w:cs="宋体"/>
                <w:sz w:val="24"/>
              </w:rPr>
              <w:t>审计规范承诺</w:t>
            </w:r>
          </w:p>
        </w:tc>
        <w:tc>
          <w:tcPr>
            <w:tcW w:w="68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30分</w:t>
            </w:r>
          </w:p>
        </w:tc>
        <w:tc>
          <w:tcPr>
            <w:tcW w:w="6231" w:type="dxa"/>
            <w:tcBorders>
              <w:top w:val="single" w:color="auto" w:sz="4" w:space="0"/>
              <w:left w:val="single" w:color="auto" w:sz="4" w:space="0"/>
              <w:bottom w:val="single" w:color="auto" w:sz="4" w:space="0"/>
              <w:right w:val="single" w:color="auto" w:sz="4" w:space="0"/>
            </w:tcBorders>
          </w:tcPr>
          <w:p>
            <w:pPr>
              <w:tabs>
                <w:tab w:val="center" w:pos="4513"/>
              </w:tabs>
              <w:spacing w:line="480" w:lineRule="exact"/>
              <w:rPr>
                <w:rFonts w:ascii="宋体" w:hAnsi="宋体"/>
                <w:color w:val="FF0000"/>
                <w:sz w:val="24"/>
                <w:szCs w:val="24"/>
              </w:rPr>
            </w:pPr>
            <w:r>
              <w:rPr>
                <w:rFonts w:hint="eastAsia" w:ascii="宋体" w:hAnsi="宋体" w:cs="宋体"/>
                <w:sz w:val="24"/>
                <w:szCs w:val="24"/>
              </w:rPr>
              <w:t>根据各供应商所提供的技术和服务要求响应表，并结合所投标服务和服务要求的内容，由评委按以下标准评定：①供应商所投服务完全满足磋商文件要求的，得满分30分。②以“★”标示的内容为不允许负偏离的实质性要求，若负偏离则投标无效【（一）</w:t>
            </w:r>
            <w:r>
              <w:rPr>
                <w:rFonts w:hint="eastAsia" w:cs="宋体"/>
                <w:sz w:val="24"/>
                <w:szCs w:val="24"/>
              </w:rPr>
              <w:t>项目具体要求</w:t>
            </w:r>
            <w:r>
              <w:rPr>
                <w:rFonts w:hint="eastAsia" w:ascii="宋体" w:hAnsi="宋体" w:cs="宋体"/>
                <w:sz w:val="24"/>
                <w:szCs w:val="24"/>
              </w:rPr>
              <w:t>以“★”标示的内容2项】；③以“▲”标示的内容未以符号标示的要求每负偏离一项扣3分，共计24分【（二）服务要求以“▲”标示的内容8项】；④其他未以符号标示的要求责任与义务每负偏离一项扣2分，共计6分【（三）责任与义务不带★和▲3项】。正偏离不加分。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20" w:type="dxa"/>
            <w:tcBorders>
              <w:top w:val="single" w:color="auto" w:sz="4" w:space="0"/>
              <w:left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A2</w:t>
            </w:r>
          </w:p>
        </w:tc>
        <w:tc>
          <w:tcPr>
            <w:tcW w:w="1832" w:type="dxa"/>
            <w:gridSpan w:val="2"/>
            <w:tcBorders>
              <w:top w:val="single" w:color="auto" w:sz="4" w:space="0"/>
              <w:left w:val="single" w:color="auto" w:sz="4" w:space="0"/>
              <w:right w:val="single" w:color="auto" w:sz="4" w:space="0"/>
            </w:tcBorders>
            <w:vAlign w:val="center"/>
          </w:tcPr>
          <w:p>
            <w:pPr>
              <w:pStyle w:val="22"/>
              <w:spacing w:line="480" w:lineRule="exact"/>
              <w:jc w:val="center"/>
              <w:rPr>
                <w:rFonts w:hAnsi="宋体"/>
                <w:sz w:val="21"/>
                <w:szCs w:val="21"/>
              </w:rPr>
            </w:pPr>
            <w:r>
              <w:rPr>
                <w:rFonts w:hint="eastAsia" w:hAnsi="宋体"/>
                <w:sz w:val="24"/>
              </w:rPr>
              <w:t>审计项目方案</w:t>
            </w:r>
          </w:p>
        </w:tc>
        <w:tc>
          <w:tcPr>
            <w:tcW w:w="688" w:type="dxa"/>
            <w:tcBorders>
              <w:top w:val="single" w:color="auto" w:sz="4" w:space="0"/>
              <w:left w:val="single" w:color="auto" w:sz="4" w:space="0"/>
              <w:bottom w:val="single" w:color="auto" w:sz="4" w:space="0"/>
              <w:right w:val="single" w:color="auto" w:sz="4" w:space="0"/>
            </w:tcBorders>
            <w:vAlign w:val="center"/>
          </w:tcPr>
          <w:p>
            <w:pPr>
              <w:pStyle w:val="22"/>
              <w:spacing w:line="480" w:lineRule="exact"/>
              <w:jc w:val="center"/>
              <w:rPr>
                <w:rFonts w:hAnsi="宋体"/>
                <w:sz w:val="21"/>
                <w:szCs w:val="21"/>
              </w:rPr>
            </w:pPr>
            <w:r>
              <w:rPr>
                <w:rFonts w:hint="eastAsia" w:hAnsi="宋体"/>
                <w:sz w:val="21"/>
                <w:szCs w:val="21"/>
              </w:rPr>
              <w:t>8分</w:t>
            </w:r>
          </w:p>
        </w:tc>
        <w:tc>
          <w:tcPr>
            <w:tcW w:w="6231"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szCs w:val="21"/>
              </w:rPr>
            </w:pPr>
            <w:r>
              <w:rPr>
                <w:rFonts w:hint="eastAsia" w:ascii="宋体" w:hAnsi="宋体" w:cs="宋体"/>
                <w:sz w:val="24"/>
              </w:rPr>
              <w:t>供应商对本项目服务的重点、难点的分析的针对性及专业程度情况进行打分：针对性强及专业程度高的得8分，针对性及专业程度较好的得5分，针对性及专业程度一般的得3分，其余不得分。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0" w:type="dxa"/>
            <w:tcBorders>
              <w:top w:val="single" w:color="auto" w:sz="4" w:space="0"/>
              <w:left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A3</w:t>
            </w:r>
          </w:p>
        </w:tc>
        <w:tc>
          <w:tcPr>
            <w:tcW w:w="1832" w:type="dxa"/>
            <w:gridSpan w:val="2"/>
            <w:tcBorders>
              <w:top w:val="single" w:color="auto" w:sz="4" w:space="0"/>
              <w:left w:val="single" w:color="auto" w:sz="4" w:space="0"/>
              <w:right w:val="single" w:color="auto" w:sz="4" w:space="0"/>
            </w:tcBorders>
            <w:vAlign w:val="center"/>
          </w:tcPr>
          <w:p>
            <w:pPr>
              <w:pStyle w:val="22"/>
              <w:spacing w:line="480" w:lineRule="exact"/>
              <w:jc w:val="center"/>
              <w:rPr>
                <w:rFonts w:hAnsi="宋体"/>
                <w:sz w:val="21"/>
                <w:szCs w:val="21"/>
              </w:rPr>
            </w:pPr>
            <w:r>
              <w:rPr>
                <w:rFonts w:hint="eastAsia" w:hAnsi="宋体"/>
                <w:sz w:val="24"/>
              </w:rPr>
              <w:t>审计项目措施</w:t>
            </w:r>
          </w:p>
        </w:tc>
        <w:tc>
          <w:tcPr>
            <w:tcW w:w="688" w:type="dxa"/>
            <w:tcBorders>
              <w:top w:val="single" w:color="auto" w:sz="4" w:space="0"/>
              <w:left w:val="single" w:color="auto" w:sz="4" w:space="0"/>
              <w:bottom w:val="single" w:color="auto" w:sz="4" w:space="0"/>
              <w:right w:val="single" w:color="auto" w:sz="4" w:space="0"/>
            </w:tcBorders>
            <w:vAlign w:val="center"/>
          </w:tcPr>
          <w:p>
            <w:pPr>
              <w:pStyle w:val="22"/>
              <w:spacing w:line="480" w:lineRule="exact"/>
              <w:jc w:val="center"/>
              <w:rPr>
                <w:rFonts w:hAnsi="宋体"/>
                <w:sz w:val="21"/>
                <w:szCs w:val="21"/>
              </w:rPr>
            </w:pPr>
            <w:r>
              <w:rPr>
                <w:rFonts w:hint="eastAsia" w:hAnsi="宋体"/>
                <w:sz w:val="21"/>
                <w:szCs w:val="21"/>
              </w:rPr>
              <w:t>5分</w:t>
            </w:r>
          </w:p>
        </w:tc>
        <w:tc>
          <w:tcPr>
            <w:tcW w:w="6231" w:type="dxa"/>
            <w:tcBorders>
              <w:top w:val="single" w:color="auto" w:sz="4" w:space="0"/>
              <w:left w:val="single" w:color="auto" w:sz="4" w:space="0"/>
              <w:bottom w:val="single" w:color="auto" w:sz="4" w:space="0"/>
              <w:right w:val="single" w:color="auto" w:sz="4" w:space="0"/>
            </w:tcBorders>
          </w:tcPr>
          <w:p>
            <w:pPr>
              <w:tabs>
                <w:tab w:val="left" w:pos="2041"/>
                <w:tab w:val="left" w:pos="5907"/>
                <w:tab w:val="left" w:pos="9344"/>
              </w:tabs>
              <w:adjustRightInd w:val="0"/>
              <w:snapToGrid w:val="0"/>
              <w:spacing w:line="480" w:lineRule="atLeast"/>
              <w:jc w:val="left"/>
              <w:rPr>
                <w:rFonts w:ascii="宋体" w:hAnsi="宋体"/>
                <w:szCs w:val="21"/>
              </w:rPr>
            </w:pPr>
            <w:r>
              <w:rPr>
                <w:rFonts w:hint="eastAsia" w:ascii="宋体" w:hAnsi="宋体" w:cs="宋体"/>
                <w:sz w:val="24"/>
              </w:rPr>
              <w:t>根据供应商提供的应对措施及拟订的审前调查方案等情况进行打分：措施及方案详细完善的得5分，措施及方案较为详细完善的得3分，措施及方案不够详细完善的得1分。其余不得分。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720" w:type="dxa"/>
            <w:tcBorders>
              <w:top w:val="single" w:color="auto" w:sz="4" w:space="0"/>
              <w:left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A4</w:t>
            </w:r>
          </w:p>
        </w:tc>
        <w:tc>
          <w:tcPr>
            <w:tcW w:w="1832" w:type="dxa"/>
            <w:gridSpan w:val="2"/>
            <w:tcBorders>
              <w:top w:val="single" w:color="auto" w:sz="4" w:space="0"/>
              <w:left w:val="single" w:color="auto" w:sz="4" w:space="0"/>
              <w:right w:val="single" w:color="auto" w:sz="4" w:space="0"/>
            </w:tcBorders>
            <w:vAlign w:val="center"/>
          </w:tcPr>
          <w:p>
            <w:pPr>
              <w:pStyle w:val="22"/>
              <w:spacing w:line="480" w:lineRule="exact"/>
              <w:jc w:val="center"/>
              <w:rPr>
                <w:rFonts w:hAnsi="宋体"/>
                <w:sz w:val="21"/>
                <w:szCs w:val="21"/>
              </w:rPr>
            </w:pPr>
            <w:r>
              <w:rPr>
                <w:rFonts w:hint="eastAsia" w:hAnsi="宋体"/>
                <w:sz w:val="24"/>
              </w:rPr>
              <w:t>审计范围</w:t>
            </w:r>
          </w:p>
        </w:tc>
        <w:tc>
          <w:tcPr>
            <w:tcW w:w="688" w:type="dxa"/>
            <w:tcBorders>
              <w:top w:val="single" w:color="auto" w:sz="4" w:space="0"/>
              <w:left w:val="single" w:color="auto" w:sz="4" w:space="0"/>
              <w:bottom w:val="single" w:color="auto" w:sz="4" w:space="0"/>
              <w:right w:val="single" w:color="auto" w:sz="4" w:space="0"/>
            </w:tcBorders>
            <w:vAlign w:val="center"/>
          </w:tcPr>
          <w:p>
            <w:pPr>
              <w:pStyle w:val="22"/>
              <w:spacing w:line="480" w:lineRule="exact"/>
              <w:jc w:val="center"/>
              <w:rPr>
                <w:rFonts w:hAnsi="宋体"/>
                <w:sz w:val="21"/>
                <w:szCs w:val="21"/>
              </w:rPr>
            </w:pPr>
            <w:r>
              <w:rPr>
                <w:rFonts w:hint="eastAsia" w:hAnsi="宋体"/>
                <w:sz w:val="21"/>
                <w:szCs w:val="21"/>
              </w:rPr>
              <w:t>3分</w:t>
            </w:r>
          </w:p>
        </w:tc>
        <w:tc>
          <w:tcPr>
            <w:tcW w:w="6231" w:type="dxa"/>
            <w:tcBorders>
              <w:top w:val="single" w:color="auto" w:sz="4" w:space="0"/>
              <w:left w:val="single" w:color="auto" w:sz="4" w:space="0"/>
              <w:bottom w:val="single" w:color="auto" w:sz="4" w:space="0"/>
              <w:right w:val="single" w:color="auto" w:sz="4" w:space="0"/>
            </w:tcBorders>
          </w:tcPr>
          <w:p>
            <w:pPr>
              <w:tabs>
                <w:tab w:val="center" w:pos="4513"/>
              </w:tabs>
              <w:spacing w:line="480" w:lineRule="exact"/>
              <w:rPr>
                <w:rFonts w:ascii="宋体" w:hAnsi="宋体"/>
                <w:szCs w:val="21"/>
              </w:rPr>
            </w:pPr>
            <w:r>
              <w:rPr>
                <w:rFonts w:hint="eastAsia" w:ascii="宋体" w:hAnsi="宋体" w:cs="宋体"/>
                <w:sz w:val="24"/>
              </w:rPr>
              <w:t>根据供应商所拟订的审计范围是否涵盖所投项目审计内容所有重要方面的情况进行打分：优的得3分，良的得2分，一般的得1分，差的不得分。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tcBorders>
              <w:top w:val="single" w:color="auto" w:sz="4" w:space="0"/>
              <w:left w:val="single" w:color="auto" w:sz="4" w:space="0"/>
              <w:right w:val="single" w:color="auto" w:sz="4" w:space="0"/>
            </w:tcBorders>
            <w:vAlign w:val="center"/>
          </w:tcPr>
          <w:p>
            <w:pPr>
              <w:widowControl/>
              <w:spacing w:line="480" w:lineRule="exact"/>
              <w:ind w:firstLine="105" w:firstLineChars="50"/>
              <w:rPr>
                <w:rFonts w:ascii="宋体" w:hAnsi="宋体"/>
                <w:kern w:val="0"/>
                <w:szCs w:val="21"/>
              </w:rPr>
            </w:pPr>
            <w:r>
              <w:rPr>
                <w:rFonts w:hint="eastAsia" w:ascii="宋体" w:hAnsi="宋体"/>
                <w:szCs w:val="21"/>
              </w:rPr>
              <w:t xml:space="preserve"> A5</w:t>
            </w:r>
          </w:p>
        </w:tc>
        <w:tc>
          <w:tcPr>
            <w:tcW w:w="1832" w:type="dxa"/>
            <w:gridSpan w:val="2"/>
            <w:tcBorders>
              <w:top w:val="single" w:color="auto" w:sz="4" w:space="0"/>
              <w:left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cs="宋体"/>
                <w:sz w:val="24"/>
              </w:rPr>
              <w:t>审计服务质量</w:t>
            </w:r>
          </w:p>
        </w:tc>
        <w:tc>
          <w:tcPr>
            <w:tcW w:w="68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8分</w:t>
            </w:r>
          </w:p>
        </w:tc>
        <w:tc>
          <w:tcPr>
            <w:tcW w:w="6231"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Cs w:val="21"/>
              </w:rPr>
            </w:pPr>
            <w:r>
              <w:rPr>
                <w:rFonts w:hint="eastAsia" w:ascii="宋体" w:hAnsi="宋体" w:cs="宋体"/>
                <w:kern w:val="0"/>
                <w:sz w:val="24"/>
              </w:rPr>
              <w:t>根据投标方案中提出的审核服务保障措施、目标实现程度、质量控制方案情况进行打分：优的得8分，良的得5分，一般的得3分，差的不得分。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A6</w:t>
            </w:r>
          </w:p>
        </w:tc>
        <w:tc>
          <w:tcPr>
            <w:tcW w:w="1832" w:type="dxa"/>
            <w:gridSpan w:val="2"/>
            <w:tcBorders>
              <w:top w:val="single" w:color="auto" w:sz="4" w:space="0"/>
              <w:left w:val="single" w:color="auto" w:sz="4" w:space="0"/>
              <w:bottom w:val="single" w:color="auto" w:sz="4" w:space="0"/>
              <w:right w:val="single" w:color="auto" w:sz="4" w:space="0"/>
            </w:tcBorders>
            <w:vAlign w:val="center"/>
          </w:tcPr>
          <w:p>
            <w:pPr>
              <w:pStyle w:val="22"/>
              <w:spacing w:line="480" w:lineRule="exact"/>
              <w:jc w:val="center"/>
              <w:rPr>
                <w:rFonts w:hAnsi="宋体"/>
                <w:sz w:val="21"/>
                <w:szCs w:val="21"/>
              </w:rPr>
            </w:pPr>
            <w:r>
              <w:rPr>
                <w:rFonts w:hint="eastAsia" w:hAnsi="宋体"/>
                <w:sz w:val="24"/>
              </w:rPr>
              <w:t>项目负责人         工作年限</w:t>
            </w:r>
          </w:p>
        </w:tc>
        <w:tc>
          <w:tcPr>
            <w:tcW w:w="688" w:type="dxa"/>
            <w:tcBorders>
              <w:top w:val="single" w:color="auto" w:sz="4" w:space="0"/>
              <w:left w:val="single" w:color="auto" w:sz="4" w:space="0"/>
              <w:bottom w:val="single" w:color="auto" w:sz="4" w:space="0"/>
              <w:right w:val="single" w:color="auto" w:sz="4" w:space="0"/>
            </w:tcBorders>
            <w:vAlign w:val="center"/>
          </w:tcPr>
          <w:p>
            <w:pPr>
              <w:pStyle w:val="22"/>
              <w:spacing w:line="480" w:lineRule="exact"/>
              <w:jc w:val="center"/>
              <w:rPr>
                <w:rFonts w:hAnsi="宋体"/>
                <w:sz w:val="21"/>
                <w:szCs w:val="21"/>
              </w:rPr>
            </w:pPr>
            <w:r>
              <w:rPr>
                <w:rFonts w:hint="eastAsia" w:hAnsi="宋体"/>
                <w:sz w:val="21"/>
                <w:szCs w:val="21"/>
              </w:rPr>
              <w:t xml:space="preserve"> 3分</w:t>
            </w:r>
          </w:p>
        </w:tc>
        <w:tc>
          <w:tcPr>
            <w:tcW w:w="6231"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kern w:val="0"/>
                <w:szCs w:val="21"/>
              </w:rPr>
            </w:pPr>
            <w:r>
              <w:rPr>
                <w:rFonts w:hint="eastAsia" w:ascii="宋体" w:hAnsi="宋体" w:cs="宋体"/>
                <w:sz w:val="24"/>
              </w:rPr>
              <w:t>根据供应商拟派本项目的项目负责人具有注册会计师资格3年（含）-5年（不含）得1分，5年（含）-10年（不含）得2分，10年（含10年）以上的得3分，须提供相关证明材料复印件（原件备查）。注：持证人员的证书单位投标单位必须一致，并提供持证人员在投标截止日期近三个月（不含投标当月）社保部门出具的社保缴纳证明材料，社保证明材料应从社保窗口或从社保系统中打印的盖有社保机构公章并提供相应防伪查询网址或其他防伪查询方式，提供不齐全的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A7</w:t>
            </w:r>
          </w:p>
        </w:tc>
        <w:tc>
          <w:tcPr>
            <w:tcW w:w="183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cs="宋体"/>
                <w:kern w:val="0"/>
                <w:sz w:val="24"/>
              </w:rPr>
              <w:t>拟派项目团队情况</w:t>
            </w:r>
          </w:p>
        </w:tc>
        <w:tc>
          <w:tcPr>
            <w:tcW w:w="68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5分</w:t>
            </w:r>
          </w:p>
        </w:tc>
        <w:tc>
          <w:tcPr>
            <w:tcW w:w="6231"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szCs w:val="21"/>
              </w:rPr>
            </w:pPr>
            <w:r>
              <w:rPr>
                <w:rFonts w:hint="eastAsia" w:ascii="宋体" w:hAnsi="宋体" w:cs="宋体"/>
                <w:sz w:val="24"/>
              </w:rPr>
              <w:t>针对本项目所拟派团队的人员安排、人员资质与资历，拥有注册会计师证书（项目负责人除外）等情况进行横向比较（供应商须提供相关的证书复印件等证明材料</w:t>
            </w:r>
            <w:r>
              <w:rPr>
                <w:rFonts w:ascii="宋体" w:hAnsi="宋体" w:cs="宋体"/>
                <w:sz w:val="24"/>
              </w:rPr>
              <w:t>）</w:t>
            </w:r>
            <w:r>
              <w:rPr>
                <w:rFonts w:hint="eastAsia" w:ascii="宋体" w:hAnsi="宋体" w:cs="宋体"/>
                <w:sz w:val="24"/>
              </w:rPr>
              <w:t>，好的得5分，较好的得3分，一般的得1分，其中所派人数3人(不含3人)以下不得分。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A8</w:t>
            </w:r>
          </w:p>
        </w:tc>
        <w:tc>
          <w:tcPr>
            <w:tcW w:w="183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cs="宋体"/>
                <w:sz w:val="24"/>
              </w:rPr>
              <w:t>具有代表性的审计报告质量水平</w:t>
            </w:r>
          </w:p>
        </w:tc>
        <w:tc>
          <w:tcPr>
            <w:tcW w:w="68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8分</w:t>
            </w:r>
          </w:p>
        </w:tc>
        <w:tc>
          <w:tcPr>
            <w:tcW w:w="6231"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szCs w:val="21"/>
              </w:rPr>
            </w:pPr>
            <w:r>
              <w:rPr>
                <w:rFonts w:hint="eastAsia" w:ascii="宋体" w:hAnsi="宋体" w:cs="宋体"/>
                <w:sz w:val="24"/>
              </w:rPr>
              <w:t>供应商须提供一份</w:t>
            </w:r>
            <w:r>
              <w:rPr>
                <w:rFonts w:ascii="宋体" w:hAnsi="宋体" w:cs="宋体"/>
                <w:sz w:val="24"/>
              </w:rPr>
              <w:t>2019</w:t>
            </w:r>
            <w:r>
              <w:rPr>
                <w:rFonts w:hint="eastAsia" w:ascii="宋体" w:hAnsi="宋体" w:cs="宋体"/>
                <w:sz w:val="24"/>
              </w:rPr>
              <w:t>年以来具有代表性的审计报告，</w:t>
            </w:r>
            <w:r>
              <w:rPr>
                <w:rFonts w:ascii="宋体" w:hAnsi="宋体" w:cs="宋体"/>
                <w:sz w:val="24"/>
              </w:rPr>
              <w:t>必须</w:t>
            </w:r>
            <w:r>
              <w:rPr>
                <w:rFonts w:hint="eastAsia" w:ascii="宋体" w:hAnsi="宋体" w:cs="宋体"/>
                <w:sz w:val="24"/>
              </w:rPr>
              <w:t>提供内部控制相关的审计报告(涉密部分可遮掩），经横向比较后，优的得8分，良的得5分，一般的得3分，其他的得1分。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71" w:type="dxa"/>
            <w:gridSpan w:val="5"/>
            <w:tcBorders>
              <w:top w:val="single" w:color="auto" w:sz="4" w:space="0"/>
              <w:left w:val="single" w:color="auto" w:sz="4" w:space="0"/>
              <w:bottom w:val="single" w:color="auto" w:sz="4" w:space="0"/>
              <w:right w:val="single" w:color="auto" w:sz="4" w:space="0"/>
            </w:tcBorders>
          </w:tcPr>
          <w:p>
            <w:pPr>
              <w:snapToGrid w:val="0"/>
              <w:spacing w:line="480" w:lineRule="exact"/>
              <w:rPr>
                <w:rFonts w:ascii="宋体" w:hAnsi="宋体"/>
                <w:szCs w:val="21"/>
              </w:rPr>
            </w:pPr>
            <w:r>
              <w:rPr>
                <w:rFonts w:hint="eastAsia" w:ascii="宋体" w:hAnsi="宋体"/>
                <w:szCs w:val="21"/>
              </w:rPr>
              <w:t>各供应商的技术部分得分A=A1+A2+A3+A4+A5+A6+A7+A8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二</w:t>
            </w:r>
          </w:p>
        </w:tc>
        <w:tc>
          <w:tcPr>
            <w:tcW w:w="8751"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宋体" w:hAnsi="宋体"/>
                <w:b/>
                <w:szCs w:val="21"/>
              </w:rPr>
            </w:pPr>
            <w:r>
              <w:rPr>
                <w:rFonts w:hint="eastAsia" w:ascii="宋体" w:hAnsi="宋体"/>
                <w:b/>
                <w:szCs w:val="21"/>
              </w:rPr>
              <w:t>商务部分评分（B满分</w:t>
            </w:r>
            <w:r>
              <w:rPr>
                <w:rFonts w:hint="eastAsia" w:ascii="宋体" w:hAnsi="宋体"/>
                <w:b/>
                <w:bCs/>
                <w:szCs w:val="21"/>
              </w:rPr>
              <w:t>20</w:t>
            </w:r>
            <w:r>
              <w:rPr>
                <w:rFonts w:ascii="宋体" w:hAnsi="宋体"/>
                <w:b/>
                <w:bCs/>
                <w:szCs w:val="21"/>
              </w:rPr>
              <w:t>分</w:t>
            </w:r>
            <w:r>
              <w:rPr>
                <w:rFonts w:hint="eastAsia" w:ascii="宋体" w:hAnsi="宋体"/>
                <w:b/>
                <w:szCs w:val="21"/>
              </w:rPr>
              <w:t>）</w:t>
            </w:r>
          </w:p>
          <w:p>
            <w:pPr>
              <w:spacing w:line="480" w:lineRule="exact"/>
              <w:rPr>
                <w:rFonts w:ascii="宋体" w:hAnsi="宋体"/>
                <w:b/>
                <w:szCs w:val="21"/>
              </w:rPr>
            </w:pPr>
            <w:r>
              <w:rPr>
                <w:rFonts w:hint="eastAsia" w:ascii="宋体" w:hAnsi="宋体"/>
                <w:b/>
                <w:szCs w:val="21"/>
              </w:rPr>
              <w:t>注:以下评分中，供应商均需提供证明文件且在有效期内，否则不得分，原件备查。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20" w:type="dxa"/>
            <w:tcBorders>
              <w:left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B1</w:t>
            </w:r>
          </w:p>
        </w:tc>
        <w:tc>
          <w:tcPr>
            <w:tcW w:w="1622" w:type="dxa"/>
            <w:tcBorders>
              <w:left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cs="宋体"/>
                <w:kern w:val="0"/>
                <w:sz w:val="24"/>
              </w:rPr>
              <w:t>成立时间</w:t>
            </w:r>
          </w:p>
        </w:tc>
        <w:tc>
          <w:tcPr>
            <w:tcW w:w="898"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2分</w:t>
            </w:r>
          </w:p>
        </w:tc>
        <w:tc>
          <w:tcPr>
            <w:tcW w:w="6231" w:type="dxa"/>
            <w:tcBorders>
              <w:top w:val="single" w:color="auto" w:sz="4" w:space="0"/>
              <w:left w:val="single" w:color="auto" w:sz="4" w:space="0"/>
              <w:bottom w:val="single" w:color="auto" w:sz="4" w:space="0"/>
              <w:right w:val="single" w:color="auto" w:sz="4" w:space="0"/>
            </w:tcBorders>
            <w:vAlign w:val="center"/>
          </w:tcPr>
          <w:p>
            <w:pPr>
              <w:tabs>
                <w:tab w:val="left" w:pos="2041"/>
                <w:tab w:val="left" w:pos="5907"/>
                <w:tab w:val="left" w:pos="9344"/>
              </w:tabs>
              <w:spacing w:line="400" w:lineRule="exact"/>
              <w:jc w:val="left"/>
              <w:rPr>
                <w:rFonts w:ascii="宋体" w:hAnsi="宋体"/>
                <w:szCs w:val="21"/>
              </w:rPr>
            </w:pPr>
            <w:r>
              <w:rPr>
                <w:rFonts w:hint="eastAsia" w:ascii="宋体" w:hAnsi="宋体" w:cs="宋体"/>
                <w:sz w:val="24"/>
              </w:rPr>
              <w:t>成立时间大于3年的得2分，成立时间小于3年（含）但多于1年的得1分，其他的不得分。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720" w:type="dxa"/>
            <w:tcBorders>
              <w:left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B2</w:t>
            </w:r>
          </w:p>
        </w:tc>
        <w:tc>
          <w:tcPr>
            <w:tcW w:w="1622" w:type="dxa"/>
            <w:tcBorders>
              <w:left w:val="single" w:color="auto" w:sz="4" w:space="0"/>
              <w:right w:val="single" w:color="auto" w:sz="4" w:space="0"/>
            </w:tcBorders>
            <w:vAlign w:val="center"/>
          </w:tcPr>
          <w:p>
            <w:pPr>
              <w:spacing w:line="480" w:lineRule="exact"/>
              <w:jc w:val="center"/>
              <w:rPr>
                <w:rFonts w:ascii="宋体" w:hAnsi="宋体"/>
                <w:bCs/>
                <w:szCs w:val="21"/>
              </w:rPr>
            </w:pPr>
            <w:r>
              <w:rPr>
                <w:rFonts w:hint="eastAsia" w:ascii="宋体" w:hAnsi="宋体" w:cs="宋体"/>
                <w:kern w:val="0"/>
                <w:sz w:val="24"/>
              </w:rPr>
              <w:t>信用信誉</w:t>
            </w:r>
          </w:p>
        </w:tc>
        <w:tc>
          <w:tcPr>
            <w:tcW w:w="898"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3分</w:t>
            </w:r>
          </w:p>
        </w:tc>
        <w:tc>
          <w:tcPr>
            <w:tcW w:w="6231"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Cs w:val="21"/>
              </w:rPr>
            </w:pPr>
            <w:r>
              <w:rPr>
                <w:rFonts w:hint="eastAsia" w:ascii="宋体" w:hAnsi="宋体" w:cs="宋体"/>
                <w:sz w:val="24"/>
              </w:rPr>
              <w:t>供应商承诺自2019年1月1日起至本项目投标截止时间止，没有被区(县)及以上的财政主管部门记不良行为记录(行政处罚、警告、通报、列入黑名单等)的得3分；承诺存在不良行为记录，但在投标截止时间前已整改且不良行为记录已被取消的得1分；其余情况或未承诺的不得分。供应商须如实承诺，并对响应文件中所提供的材料、承诺内容的真实性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left w:val="single" w:color="auto" w:sz="4" w:space="0"/>
              <w:right w:val="single" w:color="auto" w:sz="4" w:space="0"/>
            </w:tcBorders>
            <w:vAlign w:val="center"/>
          </w:tcPr>
          <w:p>
            <w:pPr>
              <w:widowControl/>
              <w:spacing w:line="480" w:lineRule="exact"/>
              <w:jc w:val="center"/>
              <w:rPr>
                <w:rFonts w:ascii="宋体" w:hAnsi="宋体"/>
                <w:szCs w:val="21"/>
              </w:rPr>
            </w:pPr>
            <w:r>
              <w:rPr>
                <w:rFonts w:hint="eastAsia" w:ascii="宋体" w:hAnsi="宋体"/>
                <w:szCs w:val="21"/>
              </w:rPr>
              <w:t>B3</w:t>
            </w:r>
          </w:p>
        </w:tc>
        <w:tc>
          <w:tcPr>
            <w:tcW w:w="1622" w:type="dxa"/>
            <w:tcBorders>
              <w:left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cs="宋体"/>
                <w:kern w:val="0"/>
                <w:sz w:val="24"/>
              </w:rPr>
              <w:t>通报表扬  情况</w:t>
            </w:r>
          </w:p>
        </w:tc>
        <w:tc>
          <w:tcPr>
            <w:tcW w:w="898" w:type="dxa"/>
            <w:gridSpan w:val="2"/>
            <w:tcBorders>
              <w:top w:val="single" w:color="auto" w:sz="4" w:space="0"/>
              <w:left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2分</w:t>
            </w:r>
          </w:p>
        </w:tc>
        <w:tc>
          <w:tcPr>
            <w:tcW w:w="6231" w:type="dxa"/>
            <w:tcBorders>
              <w:top w:val="single" w:color="auto" w:sz="4" w:space="0"/>
              <w:left w:val="single" w:color="auto" w:sz="4" w:space="0"/>
              <w:right w:val="single" w:color="auto" w:sz="4" w:space="0"/>
            </w:tcBorders>
          </w:tcPr>
          <w:p>
            <w:pPr>
              <w:spacing w:line="480" w:lineRule="exact"/>
              <w:rPr>
                <w:rFonts w:ascii="宋体" w:hAnsi="宋体"/>
                <w:szCs w:val="21"/>
              </w:rPr>
            </w:pPr>
            <w:r>
              <w:rPr>
                <w:rFonts w:hint="eastAsia" w:ascii="宋体" w:hAnsi="宋体" w:cs="宋体"/>
                <w:kern w:val="0"/>
                <w:sz w:val="24"/>
              </w:rPr>
              <w:t>供应商在上一年度获得省级或以上财政主管部门质量检查通报表扬的1项得1分。获得各地市级财政主管部门质量检查通报表扬的1项得0.5分。各供应商须提供主管部门通报表扬文件复印件，没提供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20" w:type="dxa"/>
            <w:vMerge w:val="restart"/>
            <w:tcBorders>
              <w:left w:val="single" w:color="auto" w:sz="4" w:space="0"/>
              <w:right w:val="single" w:color="auto" w:sz="4" w:space="0"/>
            </w:tcBorders>
            <w:vAlign w:val="center"/>
          </w:tcPr>
          <w:p>
            <w:pPr>
              <w:widowControl/>
              <w:spacing w:line="480" w:lineRule="exact"/>
              <w:jc w:val="center"/>
              <w:rPr>
                <w:rFonts w:ascii="宋体" w:hAnsi="宋体"/>
                <w:szCs w:val="21"/>
              </w:rPr>
            </w:pPr>
            <w:r>
              <w:rPr>
                <w:rFonts w:hint="eastAsia" w:ascii="宋体" w:hAnsi="宋体"/>
                <w:szCs w:val="21"/>
              </w:rPr>
              <w:t>B4</w:t>
            </w:r>
          </w:p>
        </w:tc>
        <w:tc>
          <w:tcPr>
            <w:tcW w:w="1622" w:type="dxa"/>
            <w:vMerge w:val="restart"/>
            <w:tcBorders>
              <w:left w:val="single" w:color="auto" w:sz="4" w:space="0"/>
              <w:right w:val="single" w:color="auto" w:sz="4" w:space="0"/>
            </w:tcBorders>
            <w:vAlign w:val="center"/>
          </w:tcPr>
          <w:p>
            <w:pPr>
              <w:spacing w:line="480" w:lineRule="exact"/>
              <w:jc w:val="center"/>
              <w:rPr>
                <w:rFonts w:ascii="宋体" w:hAnsi="宋体"/>
                <w:bCs/>
                <w:szCs w:val="21"/>
              </w:rPr>
            </w:pPr>
            <w:r>
              <w:rPr>
                <w:rFonts w:hint="eastAsia" w:ascii="宋体" w:hAnsi="宋体" w:cs="宋体"/>
                <w:kern w:val="0"/>
                <w:sz w:val="24"/>
              </w:rPr>
              <w:t>供应商综合实力</w:t>
            </w:r>
          </w:p>
        </w:tc>
        <w:tc>
          <w:tcPr>
            <w:tcW w:w="898" w:type="dxa"/>
            <w:gridSpan w:val="2"/>
            <w:tcBorders>
              <w:top w:val="single" w:color="auto" w:sz="4" w:space="0"/>
              <w:left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3分</w:t>
            </w:r>
          </w:p>
        </w:tc>
        <w:tc>
          <w:tcPr>
            <w:tcW w:w="6231" w:type="dxa"/>
            <w:tcBorders>
              <w:top w:val="single" w:color="auto" w:sz="4" w:space="0"/>
              <w:left w:val="single" w:color="auto" w:sz="4" w:space="0"/>
              <w:right w:val="single" w:color="auto" w:sz="4" w:space="0"/>
            </w:tcBorders>
          </w:tcPr>
          <w:p>
            <w:pPr>
              <w:pBdr>
                <w:bottom w:val="single" w:color="auto" w:sz="6" w:space="1"/>
              </w:pBdr>
              <w:tabs>
                <w:tab w:val="center" w:pos="4153"/>
                <w:tab w:val="right" w:pos="8306"/>
              </w:tabs>
              <w:snapToGrid w:val="0"/>
              <w:spacing w:line="480" w:lineRule="exact"/>
              <w:rPr>
                <w:rFonts w:ascii="宋体" w:hAnsi="宋体"/>
                <w:szCs w:val="21"/>
              </w:rPr>
            </w:pPr>
            <w:r>
              <w:rPr>
                <w:rFonts w:hint="eastAsia" w:ascii="宋体" w:hAnsi="宋体" w:cs="宋体"/>
                <w:kern w:val="0"/>
                <w:sz w:val="24"/>
              </w:rPr>
              <w:t>根据供应商注册会计师人数给分，注册会计师人数达到5</w:t>
            </w:r>
            <w:r>
              <w:rPr>
                <w:rFonts w:ascii="宋体" w:hAnsi="宋体" w:cs="宋体"/>
                <w:kern w:val="0"/>
                <w:sz w:val="24"/>
              </w:rPr>
              <w:t>名得1分，每增加1人得</w:t>
            </w:r>
            <w:r>
              <w:rPr>
                <w:rFonts w:hint="eastAsia" w:ascii="宋体" w:hAnsi="宋体" w:cs="宋体"/>
                <w:kern w:val="0"/>
                <w:sz w:val="24"/>
              </w:rPr>
              <w:t>0.5</w:t>
            </w:r>
            <w:r>
              <w:rPr>
                <w:rFonts w:ascii="宋体" w:hAnsi="宋体" w:cs="宋体"/>
                <w:kern w:val="0"/>
                <w:sz w:val="24"/>
              </w:rPr>
              <w:t>分，最多得3分，</w:t>
            </w:r>
            <w:r>
              <w:rPr>
                <w:rFonts w:hint="eastAsia" w:ascii="宋体" w:hAnsi="宋体" w:cs="宋体"/>
                <w:kern w:val="0"/>
                <w:sz w:val="24"/>
              </w:rPr>
              <w:t>供应商</w:t>
            </w:r>
            <w:r>
              <w:rPr>
                <w:rFonts w:ascii="宋体" w:hAnsi="宋体" w:cs="宋体"/>
                <w:kern w:val="0"/>
                <w:sz w:val="24"/>
              </w:rPr>
              <w:t>必须提供注册会计师是本单位员工的有效证明（</w:t>
            </w:r>
            <w:r>
              <w:rPr>
                <w:rFonts w:hint="eastAsia" w:ascii="宋体" w:hAnsi="宋体" w:cs="宋体"/>
                <w:kern w:val="0"/>
                <w:sz w:val="24"/>
              </w:rPr>
              <w:t>提供福建省注册会计师行业管理平台导出的人员清单</w:t>
            </w:r>
            <w:r>
              <w:rPr>
                <w:rFonts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20" w:type="dxa"/>
            <w:vMerge w:val="continue"/>
            <w:tcBorders>
              <w:left w:val="single" w:color="auto" w:sz="4" w:space="0"/>
              <w:right w:val="single" w:color="auto" w:sz="4" w:space="0"/>
            </w:tcBorders>
            <w:vAlign w:val="center"/>
          </w:tcPr>
          <w:p>
            <w:pPr>
              <w:widowControl/>
              <w:spacing w:line="480" w:lineRule="exact"/>
              <w:jc w:val="center"/>
              <w:rPr>
                <w:rFonts w:ascii="宋体" w:hAnsi="宋体"/>
                <w:szCs w:val="21"/>
              </w:rPr>
            </w:pPr>
          </w:p>
        </w:tc>
        <w:tc>
          <w:tcPr>
            <w:tcW w:w="1622" w:type="dxa"/>
            <w:vMerge w:val="continue"/>
            <w:tcBorders>
              <w:left w:val="single" w:color="auto" w:sz="4" w:space="0"/>
              <w:right w:val="single" w:color="auto" w:sz="4" w:space="0"/>
            </w:tcBorders>
            <w:vAlign w:val="center"/>
          </w:tcPr>
          <w:p>
            <w:pPr>
              <w:spacing w:line="480" w:lineRule="exact"/>
              <w:jc w:val="center"/>
              <w:rPr>
                <w:rFonts w:ascii="宋体" w:hAnsi="宋体" w:cs="宋体"/>
                <w:kern w:val="0"/>
                <w:sz w:val="24"/>
              </w:rPr>
            </w:pPr>
          </w:p>
        </w:tc>
        <w:tc>
          <w:tcPr>
            <w:tcW w:w="898" w:type="dxa"/>
            <w:gridSpan w:val="2"/>
            <w:tcBorders>
              <w:top w:val="single" w:color="auto" w:sz="4" w:space="0"/>
              <w:left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2分</w:t>
            </w:r>
          </w:p>
        </w:tc>
        <w:tc>
          <w:tcPr>
            <w:tcW w:w="6231" w:type="dxa"/>
            <w:tcBorders>
              <w:top w:val="single" w:color="auto" w:sz="4" w:space="0"/>
              <w:left w:val="single" w:color="auto" w:sz="4" w:space="0"/>
              <w:right w:val="single" w:color="auto" w:sz="4" w:space="0"/>
            </w:tcBorders>
          </w:tcPr>
          <w:p>
            <w:pPr>
              <w:pBdr>
                <w:bottom w:val="single" w:color="auto" w:sz="6" w:space="1"/>
              </w:pBdr>
              <w:tabs>
                <w:tab w:val="center" w:pos="4153"/>
                <w:tab w:val="right" w:pos="8306"/>
              </w:tabs>
              <w:snapToGrid w:val="0"/>
              <w:spacing w:line="480" w:lineRule="exact"/>
              <w:rPr>
                <w:rFonts w:ascii="宋体" w:hAnsi="宋体" w:cs="宋体"/>
                <w:kern w:val="0"/>
                <w:sz w:val="24"/>
              </w:rPr>
            </w:pPr>
            <w:r>
              <w:rPr>
                <w:rFonts w:hint="eastAsia" w:ascii="宋体" w:hAnsi="宋体" w:cs="宋体"/>
                <w:kern w:val="0"/>
                <w:sz w:val="24"/>
              </w:rPr>
              <w:t>供应商具有AAA企业信用等级证书的得1分；供应商具有质量管理体系认证证书的得1分。注：提供上述在有效期内的认证证书复印件或“国家认证认可监督管理委员会（</w:t>
            </w:r>
            <w:r>
              <w:fldChar w:fldCharType="begin"/>
            </w:r>
            <w:r>
              <w:instrText xml:space="preserve">HYPERLINK "http://www.cnca.gov.cn"</w:instrText>
            </w:r>
            <w:r>
              <w:fldChar w:fldCharType="separate"/>
            </w:r>
            <w:r>
              <w:rPr>
                <w:rStyle w:val="16"/>
                <w:rFonts w:hint="eastAsia" w:ascii="宋体" w:hAnsi="宋体" w:cs="宋体"/>
                <w:kern w:val="0"/>
                <w:sz w:val="24"/>
              </w:rPr>
              <w:t>http://www.cnca.gov.cn</w:t>
            </w:r>
            <w:r>
              <w:fldChar w:fldCharType="end"/>
            </w:r>
            <w:r>
              <w:rPr>
                <w:rFonts w:ascii="宋体" w:hAnsi="宋体" w:cs="宋体"/>
                <w:kern w:val="0"/>
                <w:sz w:val="24"/>
              </w:rPr>
              <w:t>）”</w:t>
            </w:r>
            <w:r>
              <w:rPr>
                <w:rFonts w:hint="eastAsia" w:ascii="宋体" w:hAnsi="宋体" w:cs="宋体"/>
                <w:kern w:val="0"/>
                <w:sz w:val="24"/>
              </w:rPr>
              <w:t>的全国认证认可信息公共平台上查询到的在有效期内的官网截图打印件。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20" w:type="dxa"/>
            <w:tcBorders>
              <w:left w:val="single" w:color="auto" w:sz="4" w:space="0"/>
              <w:bottom w:val="single" w:color="auto" w:sz="4" w:space="0"/>
              <w:right w:val="single" w:color="auto" w:sz="4" w:space="0"/>
            </w:tcBorders>
            <w:vAlign w:val="center"/>
          </w:tcPr>
          <w:p>
            <w:pPr>
              <w:widowControl/>
              <w:spacing w:line="480" w:lineRule="exact"/>
              <w:ind w:firstLine="105" w:firstLineChars="50"/>
              <w:jc w:val="center"/>
              <w:rPr>
                <w:rFonts w:ascii="宋体" w:hAnsi="宋体"/>
                <w:szCs w:val="21"/>
              </w:rPr>
            </w:pPr>
            <w:r>
              <w:rPr>
                <w:rFonts w:hint="eastAsia" w:ascii="宋体" w:hAnsi="宋体"/>
                <w:szCs w:val="21"/>
              </w:rPr>
              <w:t>B5</w:t>
            </w:r>
          </w:p>
        </w:tc>
        <w:tc>
          <w:tcPr>
            <w:tcW w:w="1622" w:type="dxa"/>
            <w:tcBorders>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cs="宋体"/>
                <w:kern w:val="0"/>
                <w:sz w:val="24"/>
              </w:rPr>
              <w:t>用户单位满意度评价</w:t>
            </w:r>
          </w:p>
        </w:tc>
        <w:tc>
          <w:tcPr>
            <w:tcW w:w="898" w:type="dxa"/>
            <w:gridSpan w:val="2"/>
            <w:tcBorders>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3分</w:t>
            </w:r>
          </w:p>
        </w:tc>
        <w:tc>
          <w:tcPr>
            <w:tcW w:w="6231" w:type="dxa"/>
            <w:tcBorders>
              <w:left w:val="single" w:color="auto" w:sz="4" w:space="0"/>
              <w:bottom w:val="single" w:color="auto" w:sz="4" w:space="0"/>
              <w:right w:val="single" w:color="auto" w:sz="4" w:space="0"/>
            </w:tcBorders>
            <w:vAlign w:val="center"/>
          </w:tcPr>
          <w:p>
            <w:pPr>
              <w:spacing w:line="480" w:lineRule="exact"/>
              <w:rPr>
                <w:rFonts w:ascii="宋体" w:hAnsi="宋体"/>
                <w:szCs w:val="21"/>
              </w:rPr>
            </w:pPr>
            <w:r>
              <w:rPr>
                <w:rFonts w:hint="eastAsia" w:ascii="宋体" w:hAnsi="宋体" w:cs="宋体"/>
                <w:kern w:val="0"/>
                <w:sz w:val="24"/>
              </w:rPr>
              <w:t>根据供应商提供的用户单位满意度评价进行打分：用户单位满意率或能说明用户单位对供应商持肯定、满意态度的，每提供1份得0.5分，满分3分。供应商须提供相应证明文件复印件及所负责的业绩汇总表（含用户单位名称、联系人、联系电话以便核实），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20" w:type="dxa"/>
            <w:tcBorders>
              <w:left w:val="single" w:color="auto" w:sz="4" w:space="0"/>
              <w:bottom w:val="single" w:color="auto" w:sz="4" w:space="0"/>
              <w:right w:val="single" w:color="auto" w:sz="4" w:space="0"/>
            </w:tcBorders>
            <w:vAlign w:val="center"/>
          </w:tcPr>
          <w:p>
            <w:pPr>
              <w:jc w:val="center"/>
            </w:pPr>
            <w:r>
              <w:rPr>
                <w:rFonts w:hint="eastAsia" w:ascii="宋体" w:hAnsi="宋体"/>
                <w:szCs w:val="21"/>
              </w:rPr>
              <w:t>B6</w:t>
            </w:r>
          </w:p>
        </w:tc>
        <w:tc>
          <w:tcPr>
            <w:tcW w:w="1622" w:type="dxa"/>
            <w:tcBorders>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cs="宋体"/>
                <w:kern w:val="0"/>
                <w:sz w:val="24"/>
              </w:rPr>
              <w:t>审计经验</w:t>
            </w:r>
          </w:p>
        </w:tc>
        <w:tc>
          <w:tcPr>
            <w:tcW w:w="898" w:type="dxa"/>
            <w:gridSpan w:val="2"/>
            <w:tcBorders>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3分</w:t>
            </w:r>
          </w:p>
        </w:tc>
        <w:tc>
          <w:tcPr>
            <w:tcW w:w="6231" w:type="dxa"/>
            <w:tcBorders>
              <w:left w:val="single" w:color="auto" w:sz="4" w:space="0"/>
              <w:bottom w:val="single" w:color="auto" w:sz="4" w:space="0"/>
              <w:right w:val="single" w:color="auto" w:sz="4" w:space="0"/>
            </w:tcBorders>
            <w:vAlign w:val="center"/>
          </w:tcPr>
          <w:p>
            <w:pPr>
              <w:spacing w:line="480" w:lineRule="exact"/>
              <w:rPr>
                <w:rFonts w:ascii="宋体" w:hAnsi="宋体"/>
                <w:szCs w:val="21"/>
              </w:rPr>
            </w:pPr>
            <w:r>
              <w:rPr>
                <w:rFonts w:hint="eastAsia" w:ascii="宋体" w:hAnsi="宋体" w:cs="宋体"/>
                <w:kern w:val="0"/>
                <w:sz w:val="24"/>
              </w:rPr>
              <w:t>供应商自2019年以来，每完成一个内部控制评估或内部控制评价审计的得1分，满分3分。【供应商须列表并提供项目或入围库中标公告（提供相关网站中标公告的下载网页并注明网址）、采购合同文本复印件，所有材料缺一不可，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20" w:type="dxa"/>
            <w:tcBorders>
              <w:left w:val="single" w:color="auto" w:sz="4" w:space="0"/>
              <w:bottom w:val="single" w:color="auto" w:sz="4" w:space="0"/>
              <w:right w:val="single" w:color="auto" w:sz="4" w:space="0"/>
            </w:tcBorders>
            <w:vAlign w:val="center"/>
          </w:tcPr>
          <w:p>
            <w:pPr>
              <w:jc w:val="center"/>
            </w:pPr>
            <w:r>
              <w:rPr>
                <w:rFonts w:hint="eastAsia" w:ascii="宋体" w:hAnsi="宋体"/>
                <w:szCs w:val="21"/>
              </w:rPr>
              <w:t>B7</w:t>
            </w:r>
          </w:p>
        </w:tc>
        <w:tc>
          <w:tcPr>
            <w:tcW w:w="1622" w:type="dxa"/>
            <w:tcBorders>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cs="宋体"/>
                <w:kern w:val="0"/>
                <w:sz w:val="24"/>
              </w:rPr>
              <w:t>响应文件制作水平</w:t>
            </w:r>
          </w:p>
        </w:tc>
        <w:tc>
          <w:tcPr>
            <w:tcW w:w="898" w:type="dxa"/>
            <w:gridSpan w:val="2"/>
            <w:tcBorders>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2分</w:t>
            </w:r>
          </w:p>
        </w:tc>
        <w:tc>
          <w:tcPr>
            <w:tcW w:w="6231" w:type="dxa"/>
            <w:tcBorders>
              <w:left w:val="single" w:color="auto" w:sz="4" w:space="0"/>
              <w:bottom w:val="single" w:color="auto" w:sz="4" w:space="0"/>
              <w:right w:val="single" w:color="auto" w:sz="4" w:space="0"/>
            </w:tcBorders>
            <w:vAlign w:val="center"/>
          </w:tcPr>
          <w:p>
            <w:pPr>
              <w:spacing w:line="480" w:lineRule="exact"/>
              <w:rPr>
                <w:rFonts w:ascii="宋体" w:hAnsi="宋体"/>
                <w:szCs w:val="21"/>
              </w:rPr>
            </w:pPr>
            <w:r>
              <w:rPr>
                <w:rFonts w:hint="eastAsia" w:ascii="宋体" w:hAnsi="宋体" w:cs="宋体"/>
                <w:kern w:val="0"/>
                <w:sz w:val="24"/>
              </w:rPr>
              <w:t>根据各供应商，响应文件制作的规范性以及是否有助于评标工作开展的情况进行评分，优的得2分，良的得1.5分，一般的得1分，其它不得分。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471" w:type="dxa"/>
            <w:gridSpan w:val="5"/>
            <w:tcBorders>
              <w:left w:val="single" w:color="auto" w:sz="4" w:space="0"/>
              <w:bottom w:val="single" w:color="auto" w:sz="4" w:space="0"/>
              <w:right w:val="single" w:color="auto" w:sz="4" w:space="0"/>
            </w:tcBorders>
          </w:tcPr>
          <w:p>
            <w:pPr>
              <w:spacing w:line="480" w:lineRule="exact"/>
              <w:rPr>
                <w:rFonts w:ascii="宋体" w:hAnsi="宋体"/>
                <w:szCs w:val="21"/>
              </w:rPr>
            </w:pPr>
            <w:r>
              <w:rPr>
                <w:rFonts w:hint="eastAsia" w:ascii="宋体" w:hAnsi="宋体"/>
                <w:szCs w:val="21"/>
              </w:rPr>
              <w:t>各供应商的商务部分得分B=B1+B2+B3+B4+B5+B6+B7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71" w:type="dxa"/>
            <w:gridSpan w:val="5"/>
            <w:tcBorders>
              <w:left w:val="single" w:color="auto" w:sz="4" w:space="0"/>
              <w:bottom w:val="single" w:color="auto" w:sz="4" w:space="0"/>
              <w:right w:val="single" w:color="auto" w:sz="4" w:space="0"/>
            </w:tcBorders>
          </w:tcPr>
          <w:p>
            <w:pPr>
              <w:spacing w:line="480" w:lineRule="exact"/>
              <w:rPr>
                <w:rFonts w:ascii="宋体" w:hAnsi="宋体"/>
                <w:szCs w:val="21"/>
              </w:rPr>
            </w:pPr>
            <w:r>
              <w:rPr>
                <w:rFonts w:hint="eastAsia" w:ascii="宋体" w:hAnsi="宋体"/>
                <w:b/>
                <w:spacing w:val="-2"/>
                <w:szCs w:val="21"/>
                <w:shd w:val="pct10" w:color="auto" w:fill="FFFFFF"/>
              </w:rPr>
              <w:t>第二阶段报价部分的评标：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三</w:t>
            </w:r>
          </w:p>
        </w:tc>
        <w:tc>
          <w:tcPr>
            <w:tcW w:w="162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 w:val="24"/>
                <w:szCs w:val="24"/>
              </w:rPr>
            </w:pPr>
            <w:r>
              <w:rPr>
                <w:rFonts w:hint="eastAsia" w:ascii="宋体" w:hAnsi="宋体"/>
                <w:sz w:val="24"/>
                <w:szCs w:val="24"/>
              </w:rPr>
              <w:t>报价部分评分 C</w:t>
            </w:r>
          </w:p>
        </w:tc>
        <w:tc>
          <w:tcPr>
            <w:tcW w:w="898"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Style w:val="15"/>
              </w:rPr>
            </w:pPr>
            <w:r>
              <w:rPr>
                <w:rFonts w:hint="eastAsia" w:ascii="宋体" w:hAnsi="宋体"/>
                <w:szCs w:val="21"/>
              </w:rPr>
              <w:t>10分</w:t>
            </w:r>
          </w:p>
        </w:tc>
        <w:tc>
          <w:tcPr>
            <w:tcW w:w="6231" w:type="dxa"/>
            <w:tcBorders>
              <w:top w:val="single" w:color="auto" w:sz="4" w:space="0"/>
              <w:left w:val="single" w:color="auto" w:sz="4" w:space="0"/>
              <w:bottom w:val="single" w:color="auto" w:sz="4" w:space="0"/>
              <w:right w:val="single" w:color="auto" w:sz="4" w:space="0"/>
            </w:tcBorders>
          </w:tcPr>
          <w:p>
            <w:pPr>
              <w:spacing w:line="480" w:lineRule="exact"/>
              <w:ind w:firstLine="480" w:firstLineChars="200"/>
              <w:rPr>
                <w:rFonts w:ascii="宋体" w:hAnsi="宋体"/>
                <w:sz w:val="24"/>
                <w:szCs w:val="24"/>
              </w:rPr>
            </w:pPr>
            <w:r>
              <w:rPr>
                <w:rFonts w:hint="eastAsia" w:ascii="宋体" w:hAnsi="宋体"/>
                <w:sz w:val="24"/>
                <w:szCs w:val="24"/>
              </w:rPr>
              <w:t>按合同包对各供应商的报价进行数字校核，称为报价评标价。</w:t>
            </w:r>
          </w:p>
          <w:p>
            <w:pPr>
              <w:spacing w:line="480" w:lineRule="exact"/>
              <w:ind w:firstLine="480" w:firstLineChars="200"/>
              <w:rPr>
                <w:rFonts w:ascii="宋体" w:hAnsi="宋体"/>
                <w:sz w:val="24"/>
                <w:szCs w:val="24"/>
              </w:rPr>
            </w:pPr>
            <w:r>
              <w:rPr>
                <w:rFonts w:hint="eastAsia" w:ascii="宋体" w:hAnsi="宋体"/>
                <w:sz w:val="24"/>
                <w:szCs w:val="24"/>
              </w:rPr>
              <w:t>各供应商的价格得分按以下方式得出</w:t>
            </w:r>
          </w:p>
          <w:p>
            <w:pPr>
              <w:spacing w:line="480" w:lineRule="exact"/>
              <w:ind w:firstLine="480" w:firstLineChars="200"/>
              <w:rPr>
                <w:rFonts w:ascii="宋体" w:hAnsi="宋体"/>
                <w:sz w:val="24"/>
                <w:szCs w:val="24"/>
              </w:rPr>
            </w:pPr>
            <w:r>
              <w:rPr>
                <w:rFonts w:hint="eastAsia" w:ascii="宋体" w:hAnsi="宋体"/>
                <w:sz w:val="24"/>
                <w:szCs w:val="24"/>
              </w:rPr>
              <w:t>C=(H/Hn)×Q×100</w:t>
            </w:r>
          </w:p>
          <w:p>
            <w:pPr>
              <w:spacing w:line="480" w:lineRule="exact"/>
              <w:ind w:firstLine="480" w:firstLineChars="200"/>
              <w:rPr>
                <w:rFonts w:ascii="宋体" w:hAnsi="宋体"/>
                <w:sz w:val="24"/>
                <w:szCs w:val="24"/>
              </w:rPr>
            </w:pPr>
            <w:r>
              <w:rPr>
                <w:rFonts w:hint="eastAsia" w:ascii="宋体" w:hAnsi="宋体"/>
                <w:sz w:val="24"/>
                <w:szCs w:val="24"/>
              </w:rPr>
              <w:t>C： 供应商报价得分</w:t>
            </w:r>
          </w:p>
          <w:p>
            <w:pPr>
              <w:spacing w:line="480" w:lineRule="exact"/>
              <w:ind w:firstLine="480" w:firstLineChars="200"/>
              <w:rPr>
                <w:rFonts w:ascii="宋体" w:hAnsi="宋体"/>
                <w:sz w:val="24"/>
                <w:szCs w:val="24"/>
              </w:rPr>
            </w:pPr>
            <w:r>
              <w:rPr>
                <w:rFonts w:hint="eastAsia" w:ascii="宋体" w:hAnsi="宋体"/>
                <w:sz w:val="24"/>
                <w:szCs w:val="24"/>
              </w:rPr>
              <w:t>Hn：各供应商报价即报价评标价</w:t>
            </w:r>
          </w:p>
          <w:p>
            <w:pPr>
              <w:spacing w:line="480" w:lineRule="exact"/>
              <w:ind w:firstLine="480" w:firstLineChars="200"/>
              <w:rPr>
                <w:rFonts w:ascii="宋体" w:hAnsi="宋体"/>
                <w:sz w:val="24"/>
                <w:szCs w:val="24"/>
              </w:rPr>
            </w:pPr>
            <w:r>
              <w:rPr>
                <w:rFonts w:hint="eastAsia" w:ascii="宋体" w:hAnsi="宋体"/>
                <w:sz w:val="24"/>
                <w:szCs w:val="24"/>
              </w:rPr>
              <w:t>H：评标基准价即满足磋商文件要求的最低报价</w:t>
            </w:r>
          </w:p>
          <w:p>
            <w:pPr>
              <w:spacing w:line="480" w:lineRule="exact"/>
              <w:ind w:firstLine="480" w:firstLineChars="200"/>
              <w:rPr>
                <w:rFonts w:ascii="宋体" w:hAnsi="宋体"/>
                <w:sz w:val="24"/>
                <w:szCs w:val="24"/>
              </w:rPr>
            </w:pPr>
            <w:r>
              <w:rPr>
                <w:rFonts w:hint="eastAsia" w:ascii="宋体" w:hAnsi="宋体"/>
                <w:sz w:val="24"/>
                <w:szCs w:val="24"/>
              </w:rPr>
              <w:t>Q：价格权值：Q=10%</w:t>
            </w:r>
          </w:p>
          <w:p>
            <w:pPr>
              <w:pStyle w:val="2"/>
              <w:ind w:firstLine="0"/>
              <w:rPr>
                <w:rFonts w:ascii="宋体" w:hAnsi="宋体"/>
                <w:szCs w:val="21"/>
              </w:rPr>
            </w:pPr>
            <w:r>
              <w:rPr>
                <w:rFonts w:hint="eastAsia" w:ascii="宋体" w:hAnsi="宋体"/>
                <w:sz w:val="24"/>
              </w:rPr>
              <w:t>计算分数时四舍五入取小数点后两位。</w:t>
            </w:r>
          </w:p>
        </w:tc>
      </w:tr>
    </w:tbl>
    <w:p/>
    <w:p>
      <w:pPr>
        <w:tabs>
          <w:tab w:val="left" w:pos="1260"/>
        </w:tabs>
        <w:spacing w:line="460" w:lineRule="exact"/>
      </w:pPr>
      <w:r>
        <w:rPr>
          <w:rFonts w:hint="eastAsia" w:ascii="宋体" w:hAnsi="宋体"/>
          <w:szCs w:val="21"/>
        </w:rPr>
        <w:t>*计算分数时四舍五入取小数点后两位。</w:t>
      </w:r>
    </w:p>
    <w:p/>
    <w:p>
      <w:pPr>
        <w:widowControl/>
        <w:spacing w:line="400" w:lineRule="exact"/>
        <w:ind w:right="600"/>
        <w:rPr>
          <w:rFonts w:ascii="宋体" w:hAnsi="宋体"/>
          <w:sz w:val="24"/>
        </w:rPr>
        <w:sectPr>
          <w:headerReference r:id="rId4" w:type="first"/>
          <w:footerReference r:id="rId7" w:type="first"/>
          <w:headerReference r:id="rId3" w:type="default"/>
          <w:footerReference r:id="rId5" w:type="default"/>
          <w:footerReference r:id="rId6" w:type="even"/>
          <w:pgSz w:w="11907" w:h="16840"/>
          <w:pgMar w:top="1531" w:right="1588" w:bottom="1531" w:left="1588" w:header="851" w:footer="992" w:gutter="0"/>
          <w:cols w:space="720" w:num="1"/>
          <w:titlePg/>
          <w:docGrid w:type="lines" w:linePitch="312" w:charSpace="0"/>
        </w:sectPr>
      </w:pPr>
    </w:p>
    <w:p>
      <w:pPr>
        <w:pStyle w:val="24"/>
        <w:spacing w:line="600" w:lineRule="exact"/>
        <w:ind w:left="180"/>
        <w:jc w:val="center"/>
        <w:outlineLvl w:val="0"/>
        <w:rPr>
          <w:rFonts w:ascii="仿宋_GB2312" w:hAnsi="宋体" w:eastAsia="仿宋_GB2312"/>
          <w:b/>
          <w:color w:val="auto"/>
          <w:kern w:val="2"/>
          <w:sz w:val="44"/>
        </w:rPr>
      </w:pPr>
      <w:r>
        <w:rPr>
          <w:rFonts w:hint="eastAsia" w:ascii="仿宋_GB2312" w:hAnsi="宋体" w:eastAsia="仿宋_GB2312"/>
          <w:b/>
          <w:color w:val="auto"/>
          <w:kern w:val="2"/>
          <w:sz w:val="44"/>
        </w:rPr>
        <w:t>第三部分  磋商内容及要求</w:t>
      </w:r>
    </w:p>
    <w:p>
      <w:pPr>
        <w:pStyle w:val="24"/>
        <w:spacing w:line="600" w:lineRule="exact"/>
        <w:ind w:left="180"/>
        <w:jc w:val="center"/>
        <w:outlineLvl w:val="0"/>
        <w:rPr>
          <w:rFonts w:ascii="仿宋_GB2312" w:hAnsi="宋体" w:eastAsia="仿宋_GB2312"/>
          <w:b/>
          <w:color w:val="auto"/>
          <w:kern w:val="2"/>
          <w:sz w:val="44"/>
        </w:rPr>
      </w:pPr>
    </w:p>
    <w:p>
      <w:pPr>
        <w:pStyle w:val="27"/>
        <w:snapToGrid w:val="0"/>
        <w:spacing w:line="360" w:lineRule="auto"/>
        <w:ind w:left="-2" w:firstLine="0" w:firstLineChars="0"/>
        <w:rPr>
          <w:rFonts w:ascii="宋体" w:hAnsi="宋体"/>
          <w:b/>
          <w:szCs w:val="21"/>
        </w:rPr>
      </w:pPr>
      <w:r>
        <w:rPr>
          <w:rFonts w:hint="eastAsia" w:ascii="宋体" w:hAnsi="宋体"/>
          <w:b/>
          <w:szCs w:val="21"/>
        </w:rPr>
        <w:t>一、项目名称：</w:t>
      </w:r>
      <w:r>
        <w:rPr>
          <w:rFonts w:hint="eastAsia" w:ascii="宋体" w:hAnsi="宋体" w:cs="仿宋"/>
          <w:sz w:val="24"/>
          <w:szCs w:val="24"/>
        </w:rPr>
        <w:t>福建工程学院内部控制评价与风险评估</w:t>
      </w:r>
      <w:r>
        <w:rPr>
          <w:rFonts w:hint="eastAsia" w:ascii="宋体" w:hAnsi="宋体"/>
          <w:sz w:val="24"/>
          <w:szCs w:val="24"/>
        </w:rPr>
        <w:t>服务采购项目</w:t>
      </w:r>
    </w:p>
    <w:p>
      <w:pPr>
        <w:pStyle w:val="27"/>
        <w:snapToGrid w:val="0"/>
        <w:spacing w:line="360" w:lineRule="auto"/>
        <w:ind w:left="-2" w:firstLine="0" w:firstLineChars="0"/>
        <w:rPr>
          <w:rFonts w:ascii="宋体" w:hAnsi="宋体"/>
          <w:szCs w:val="21"/>
        </w:rPr>
      </w:pPr>
      <w:r>
        <w:rPr>
          <w:rFonts w:hint="eastAsia" w:ascii="宋体" w:hAnsi="宋体"/>
          <w:b/>
          <w:szCs w:val="21"/>
        </w:rPr>
        <w:t>二、项目概述：</w:t>
      </w:r>
    </w:p>
    <w:p>
      <w:pPr>
        <w:pStyle w:val="27"/>
        <w:snapToGrid w:val="0"/>
        <w:spacing w:line="360" w:lineRule="auto"/>
        <w:ind w:left="-2" w:leftChars="-1" w:firstLine="413" w:firstLineChars="196"/>
        <w:rPr>
          <w:rFonts w:ascii="宋体" w:hAnsi="宋体" w:cs="宋体"/>
          <w:b/>
          <w:bCs/>
          <w:kern w:val="0"/>
          <w:szCs w:val="21"/>
        </w:rPr>
      </w:pPr>
      <w:r>
        <w:rPr>
          <w:rFonts w:hint="eastAsia" w:ascii="宋体" w:hAnsi="宋体" w:cs="宋体"/>
          <w:b/>
          <w:bCs/>
          <w:kern w:val="0"/>
          <w:szCs w:val="21"/>
        </w:rPr>
        <w:t>1、磋商项目一览表</w:t>
      </w:r>
    </w:p>
    <w:tbl>
      <w:tblPr>
        <w:tblStyle w:val="11"/>
        <w:tblW w:w="9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850"/>
        <w:gridCol w:w="3544"/>
        <w:gridCol w:w="651"/>
        <w:gridCol w:w="1134"/>
        <w:gridCol w:w="196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703" w:type="dxa"/>
            <w:vAlign w:val="center"/>
          </w:tcPr>
          <w:p>
            <w:pPr>
              <w:pStyle w:val="25"/>
              <w:spacing w:line="276" w:lineRule="auto"/>
              <w:jc w:val="center"/>
              <w:rPr>
                <w:rFonts w:cs="Times New Roman"/>
                <w:b/>
              </w:rPr>
            </w:pPr>
            <w:r>
              <w:rPr>
                <w:rFonts w:hint="eastAsia" w:cs="Times New Roman"/>
                <w:b/>
              </w:rPr>
              <w:t>合同包</w:t>
            </w:r>
          </w:p>
        </w:tc>
        <w:tc>
          <w:tcPr>
            <w:tcW w:w="850" w:type="dxa"/>
            <w:vAlign w:val="center"/>
          </w:tcPr>
          <w:p>
            <w:pPr>
              <w:pStyle w:val="25"/>
              <w:spacing w:line="276" w:lineRule="auto"/>
              <w:jc w:val="center"/>
              <w:rPr>
                <w:rFonts w:cs="Times New Roman"/>
                <w:b/>
              </w:rPr>
            </w:pPr>
            <w:r>
              <w:rPr>
                <w:rFonts w:hint="eastAsia" w:cs="Times New Roman"/>
                <w:b/>
              </w:rPr>
              <w:t>品目号</w:t>
            </w:r>
          </w:p>
        </w:tc>
        <w:tc>
          <w:tcPr>
            <w:tcW w:w="3544" w:type="dxa"/>
            <w:vAlign w:val="center"/>
          </w:tcPr>
          <w:p>
            <w:pPr>
              <w:pStyle w:val="25"/>
              <w:spacing w:line="276" w:lineRule="auto"/>
              <w:jc w:val="center"/>
              <w:rPr>
                <w:rFonts w:cs="Times New Roman"/>
                <w:b/>
              </w:rPr>
            </w:pPr>
            <w:r>
              <w:rPr>
                <w:rFonts w:hint="eastAsia" w:cs="Times New Roman"/>
                <w:b/>
              </w:rPr>
              <w:t>项目名称</w:t>
            </w:r>
          </w:p>
        </w:tc>
        <w:tc>
          <w:tcPr>
            <w:tcW w:w="651" w:type="dxa"/>
            <w:vAlign w:val="center"/>
          </w:tcPr>
          <w:p>
            <w:pPr>
              <w:pStyle w:val="25"/>
              <w:spacing w:line="276" w:lineRule="auto"/>
              <w:jc w:val="center"/>
              <w:rPr>
                <w:rFonts w:cs="Times New Roman"/>
                <w:b/>
              </w:rPr>
            </w:pPr>
            <w:r>
              <w:rPr>
                <w:rFonts w:hint="eastAsia" w:cs="Times New Roman"/>
                <w:b/>
              </w:rPr>
              <w:t>数量</w:t>
            </w:r>
          </w:p>
        </w:tc>
        <w:tc>
          <w:tcPr>
            <w:tcW w:w="1134" w:type="dxa"/>
            <w:vAlign w:val="center"/>
          </w:tcPr>
          <w:p>
            <w:pPr>
              <w:pStyle w:val="25"/>
              <w:spacing w:line="276" w:lineRule="auto"/>
              <w:jc w:val="center"/>
              <w:rPr>
                <w:rFonts w:cs="Times New Roman"/>
                <w:b/>
              </w:rPr>
            </w:pPr>
            <w:r>
              <w:rPr>
                <w:rFonts w:hint="eastAsia" w:cs="Times New Roman"/>
                <w:b/>
              </w:rPr>
              <w:t>预算金额（万元）</w:t>
            </w:r>
          </w:p>
        </w:tc>
        <w:tc>
          <w:tcPr>
            <w:tcW w:w="1964" w:type="dxa"/>
            <w:vAlign w:val="center"/>
          </w:tcPr>
          <w:p>
            <w:pPr>
              <w:pStyle w:val="25"/>
              <w:spacing w:line="276" w:lineRule="auto"/>
              <w:jc w:val="center"/>
              <w:rPr>
                <w:rFonts w:cs="Times New Roman"/>
                <w:b/>
              </w:rPr>
            </w:pPr>
            <w:r>
              <w:rPr>
                <w:rFonts w:hint="eastAsia" w:cs="Times New Roman"/>
                <w:b/>
              </w:rPr>
              <w:t>主要技术规格</w:t>
            </w:r>
          </w:p>
        </w:tc>
        <w:tc>
          <w:tcPr>
            <w:tcW w:w="1134" w:type="dxa"/>
            <w:vAlign w:val="center"/>
          </w:tcPr>
          <w:p>
            <w:pPr>
              <w:spacing w:line="32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703" w:type="dxa"/>
            <w:vAlign w:val="center"/>
          </w:tcPr>
          <w:p>
            <w:pPr>
              <w:pStyle w:val="6"/>
              <w:spacing w:line="460" w:lineRule="exact"/>
              <w:jc w:val="center"/>
              <w:rPr>
                <w:szCs w:val="21"/>
              </w:rPr>
            </w:pPr>
            <w:r>
              <w:rPr>
                <w:rFonts w:hint="eastAsia"/>
                <w:szCs w:val="21"/>
              </w:rPr>
              <w:t>1</w:t>
            </w:r>
          </w:p>
        </w:tc>
        <w:tc>
          <w:tcPr>
            <w:tcW w:w="850" w:type="dxa"/>
            <w:vAlign w:val="center"/>
          </w:tcPr>
          <w:p>
            <w:pPr>
              <w:widowControl/>
              <w:spacing w:line="460" w:lineRule="exact"/>
              <w:jc w:val="center"/>
              <w:rPr>
                <w:szCs w:val="21"/>
              </w:rPr>
            </w:pPr>
            <w:r>
              <w:rPr>
                <w:rFonts w:hint="eastAsia"/>
                <w:szCs w:val="21"/>
              </w:rPr>
              <w:t>1-1</w:t>
            </w:r>
          </w:p>
        </w:tc>
        <w:tc>
          <w:tcPr>
            <w:tcW w:w="3544" w:type="dxa"/>
            <w:vAlign w:val="center"/>
          </w:tcPr>
          <w:p>
            <w:pPr>
              <w:jc w:val="center"/>
            </w:pPr>
            <w:r>
              <w:rPr>
                <w:rFonts w:hint="eastAsia" w:ascii="宋体" w:hAnsi="宋体" w:cs="仿宋"/>
                <w:sz w:val="24"/>
                <w:szCs w:val="24"/>
              </w:rPr>
              <w:t>福建工程学院内部控制评价与风险评估</w:t>
            </w:r>
          </w:p>
        </w:tc>
        <w:tc>
          <w:tcPr>
            <w:tcW w:w="651" w:type="dxa"/>
            <w:vAlign w:val="center"/>
          </w:tcPr>
          <w:p>
            <w:pPr>
              <w:adjustRightInd w:val="0"/>
              <w:snapToGrid w:val="0"/>
              <w:spacing w:line="460" w:lineRule="exact"/>
              <w:jc w:val="center"/>
              <w:rPr>
                <w:szCs w:val="21"/>
              </w:rPr>
            </w:pPr>
            <w:r>
              <w:rPr>
                <w:rFonts w:hint="eastAsia"/>
                <w:szCs w:val="21"/>
              </w:rPr>
              <w:t>1项</w:t>
            </w:r>
          </w:p>
        </w:tc>
        <w:tc>
          <w:tcPr>
            <w:tcW w:w="1134" w:type="dxa"/>
            <w:vAlign w:val="center"/>
          </w:tcPr>
          <w:p>
            <w:pPr>
              <w:adjustRightInd w:val="0"/>
              <w:snapToGrid w:val="0"/>
              <w:spacing w:line="460" w:lineRule="exact"/>
              <w:jc w:val="center"/>
              <w:rPr>
                <w:szCs w:val="21"/>
              </w:rPr>
            </w:pPr>
            <w:r>
              <w:rPr>
                <w:rFonts w:hint="eastAsia"/>
                <w:szCs w:val="21"/>
              </w:rPr>
              <w:t>9.8</w:t>
            </w:r>
          </w:p>
        </w:tc>
        <w:tc>
          <w:tcPr>
            <w:tcW w:w="1964" w:type="dxa"/>
            <w:vAlign w:val="center"/>
          </w:tcPr>
          <w:p>
            <w:pPr>
              <w:adjustRightInd w:val="0"/>
              <w:snapToGrid w:val="0"/>
              <w:spacing w:line="460" w:lineRule="exact"/>
              <w:jc w:val="center"/>
              <w:rPr>
                <w:rFonts w:ascii="宋体" w:hAnsi="宋体" w:cs="宋体"/>
                <w:kern w:val="0"/>
                <w:szCs w:val="21"/>
              </w:rPr>
            </w:pPr>
            <w:r>
              <w:rPr>
                <w:rFonts w:hint="eastAsia" w:ascii="宋体" w:hAnsi="宋体"/>
                <w:sz w:val="24"/>
              </w:rPr>
              <w:t>详见第三部分磋商内容及要求</w:t>
            </w:r>
          </w:p>
        </w:tc>
        <w:tc>
          <w:tcPr>
            <w:tcW w:w="1134" w:type="dxa"/>
            <w:vAlign w:val="center"/>
          </w:tcPr>
          <w:p>
            <w:pPr>
              <w:spacing w:line="460" w:lineRule="exact"/>
              <w:jc w:val="left"/>
              <w:rPr>
                <w:szCs w:val="21"/>
              </w:rPr>
            </w:pPr>
          </w:p>
        </w:tc>
      </w:tr>
    </w:tbl>
    <w:p>
      <w:pPr>
        <w:pStyle w:val="27"/>
        <w:snapToGrid w:val="0"/>
        <w:spacing w:line="360" w:lineRule="auto"/>
        <w:ind w:left="-2" w:leftChars="-1" w:firstLine="413" w:firstLineChars="196"/>
        <w:rPr>
          <w:rFonts w:ascii="宋体" w:hAnsi="宋体" w:cs="宋体"/>
          <w:b/>
          <w:bCs/>
          <w:kern w:val="0"/>
          <w:szCs w:val="21"/>
        </w:rPr>
      </w:pPr>
    </w:p>
    <w:p>
      <w:pPr>
        <w:pStyle w:val="10"/>
        <w:spacing w:before="0" w:beforeAutospacing="0" w:after="0" w:afterAutospacing="0" w:line="400" w:lineRule="exact"/>
        <w:rPr>
          <w:rFonts w:cs="宋体"/>
        </w:rPr>
      </w:pPr>
      <w:r>
        <w:rPr>
          <w:rFonts w:hint="eastAsia" w:cs="宋体"/>
        </w:rPr>
        <w:t>三、技术和服务要求</w:t>
      </w:r>
    </w:p>
    <w:p>
      <w:pPr>
        <w:pStyle w:val="10"/>
        <w:spacing w:before="0" w:beforeAutospacing="0" w:after="0" w:afterAutospacing="0" w:line="400" w:lineRule="exact"/>
        <w:ind w:firstLine="240"/>
        <w:rPr>
          <w:rFonts w:cs="宋体"/>
        </w:rPr>
      </w:pPr>
      <w:r>
        <w:rPr>
          <w:rStyle w:val="13"/>
          <w:rFonts w:hint="eastAsia" w:cs="宋体"/>
        </w:rPr>
        <w:t>（一）项目具体要求</w:t>
      </w:r>
    </w:p>
    <w:p>
      <w:pPr>
        <w:pStyle w:val="10"/>
        <w:spacing w:before="0" w:beforeAutospacing="0" w:after="0" w:afterAutospacing="0" w:line="400" w:lineRule="exact"/>
        <w:rPr>
          <w:rFonts w:cs="宋体"/>
        </w:rPr>
      </w:pPr>
      <w:r>
        <w:rPr>
          <w:rFonts w:hint="eastAsia" w:cs="宋体"/>
        </w:rPr>
        <w:t>  ★1、评价与评估服务对象：福建工程学院（采购人）</w:t>
      </w:r>
    </w:p>
    <w:p>
      <w:pPr>
        <w:pStyle w:val="10"/>
        <w:spacing w:before="0" w:beforeAutospacing="0" w:after="0" w:afterAutospacing="0" w:line="440" w:lineRule="exact"/>
        <w:ind w:firstLine="360" w:firstLineChars="150"/>
        <w:rPr>
          <w:rFonts w:cs="宋体"/>
        </w:rPr>
      </w:pPr>
      <w:r>
        <w:rPr>
          <w:rFonts w:hint="eastAsia" w:cs="宋体"/>
        </w:rPr>
        <w:t>★2、评价与评估主要内容：</w:t>
      </w:r>
    </w:p>
    <w:p>
      <w:pPr>
        <w:shd w:val="clear" w:color="auto" w:fill="FFFFFF"/>
        <w:spacing w:line="440" w:lineRule="exact"/>
        <w:ind w:firstLine="600"/>
        <w:rPr>
          <w:rFonts w:ascii="宋体" w:hAnsi="宋体" w:cs="宋体"/>
          <w:kern w:val="0"/>
          <w:sz w:val="24"/>
          <w:szCs w:val="24"/>
        </w:rPr>
      </w:pPr>
      <w:r>
        <w:rPr>
          <w:rFonts w:hint="eastAsia"/>
          <w:sz w:val="24"/>
          <w:szCs w:val="24"/>
        </w:rPr>
        <w:t>内部控制评价和风险评估主要内容：</w:t>
      </w:r>
      <w:r>
        <w:rPr>
          <w:rFonts w:hint="eastAsia" w:ascii="宋体" w:hAnsi="宋体"/>
          <w:sz w:val="24"/>
          <w:szCs w:val="24"/>
        </w:rPr>
        <w:t>⑴</w:t>
      </w:r>
      <w:r>
        <w:rPr>
          <w:rFonts w:hint="eastAsia"/>
          <w:sz w:val="24"/>
          <w:szCs w:val="24"/>
        </w:rPr>
        <w:t>根据《福建工程学院内部控制评价与监督办法（试行）》、《内部控制实施指南》和《内部控制应用指南》及国家相关法律、法规要求结合学校内部控制建设实际情况，对本校2022年度单位层面和业务层面内部控制建立和执行的有效性进行评价，对预算管理、</w:t>
      </w:r>
      <w:r>
        <w:rPr>
          <w:rFonts w:hint="eastAsia" w:ascii="宋体" w:hAnsi="宋体" w:cs="宋体"/>
          <w:kern w:val="0"/>
          <w:sz w:val="24"/>
          <w:szCs w:val="24"/>
        </w:rPr>
        <w:t>收支管理、采购管理、资产管理、建设项目管理、合同管理等六大业务领域经济活动进行风险评估</w:t>
      </w:r>
      <w:r>
        <w:rPr>
          <w:rFonts w:hint="eastAsia"/>
          <w:sz w:val="24"/>
          <w:szCs w:val="24"/>
        </w:rPr>
        <w:t>；</w:t>
      </w:r>
      <w:r>
        <w:rPr>
          <w:rFonts w:hint="eastAsia" w:ascii="宋体" w:hAnsi="宋体"/>
          <w:sz w:val="24"/>
          <w:szCs w:val="24"/>
        </w:rPr>
        <w:t>⑵</w:t>
      </w:r>
      <w:r>
        <w:rPr>
          <w:rFonts w:hint="eastAsia"/>
          <w:sz w:val="24"/>
          <w:szCs w:val="24"/>
        </w:rPr>
        <w:t>单位层面应包含以下方面内容：组织架构、运行机制、不相容岗位与职责分离控制、会计与信息系统建设以及其他需要关注的管理机制情况；</w:t>
      </w:r>
      <w:r>
        <w:rPr>
          <w:rFonts w:hint="eastAsia" w:ascii="宋体" w:hAnsi="宋体"/>
          <w:sz w:val="24"/>
          <w:szCs w:val="24"/>
        </w:rPr>
        <w:t>⑶</w:t>
      </w:r>
      <w:r>
        <w:rPr>
          <w:rFonts w:hint="eastAsia"/>
          <w:sz w:val="24"/>
          <w:szCs w:val="24"/>
        </w:rPr>
        <w:t>业务层面应包含以下方面内容：预算管理、</w:t>
      </w:r>
      <w:r>
        <w:rPr>
          <w:rFonts w:hint="eastAsia" w:ascii="宋体" w:hAnsi="宋体" w:cs="宋体"/>
          <w:kern w:val="0"/>
          <w:sz w:val="24"/>
          <w:szCs w:val="24"/>
        </w:rPr>
        <w:t>收支管理、采购管理、资产管理、建设项目管理、合同管理情况；⑷通过内部控制风险评估，对内部控制工作开展过程中可能出现的影响控制目标实现的不确定因素进行风险识别和成因分析，根据内部控制缺陷可能导致的风险程度，按重大风险、重要风险与一般风险进行分类，对内部控制制度制度建立和执行情况的有效性进行评价，提出整改建议等，分别出具学校《内部控制评价报告》和《内部控制风险评估报告》；⑸《内部控制评价报告》应包括真实性声明、评价工作总体情况、评价依据、评价范围、评价程序、评价方法、评价结论、整改建议等内容。《内部控制风险评估报告》应包括发现的内部控制缺陷、风险及其认定依据、风险的性质与类型、应对重大重要缺陷、风险拟采取整改建议及内部控制风险认定汇总表等。</w:t>
      </w:r>
    </w:p>
    <w:p>
      <w:pPr>
        <w:pStyle w:val="10"/>
        <w:spacing w:before="0" w:beforeAutospacing="0" w:after="0" w:afterAutospacing="0" w:line="440" w:lineRule="exact"/>
        <w:ind w:firstLine="240"/>
        <w:rPr>
          <w:rStyle w:val="13"/>
          <w:rFonts w:cs="宋体"/>
        </w:rPr>
      </w:pPr>
      <w:r>
        <w:rPr>
          <w:rStyle w:val="13"/>
          <w:rFonts w:hint="eastAsia" w:cs="宋体"/>
        </w:rPr>
        <w:t>（二）服务要求</w:t>
      </w:r>
    </w:p>
    <w:p>
      <w:pPr>
        <w:pStyle w:val="10"/>
        <w:spacing w:before="0" w:beforeAutospacing="0" w:after="0" w:afterAutospacing="0" w:line="440" w:lineRule="exact"/>
        <w:ind w:firstLine="240" w:firstLineChars="100"/>
        <w:rPr>
          <w:rFonts w:cs="宋体"/>
        </w:rPr>
      </w:pPr>
      <w:r>
        <w:rPr>
          <w:rFonts w:hint="eastAsia" w:cs="宋体"/>
          <w:lang w:val="en-US"/>
        </w:rPr>
        <w:t>▲1、</w:t>
      </w:r>
      <w:r>
        <w:rPr>
          <w:rFonts w:hint="eastAsia" w:cs="宋体"/>
        </w:rPr>
        <w:t>为每个被审计对象提供不少于3名专业人员且所提供的专业人员，具有一定工作经验，并具备相关专业从业资格证。</w:t>
      </w:r>
    </w:p>
    <w:p>
      <w:pPr>
        <w:pStyle w:val="10"/>
        <w:spacing w:before="0" w:beforeAutospacing="0" w:after="0" w:afterAutospacing="0" w:line="440" w:lineRule="exact"/>
        <w:ind w:firstLine="240" w:firstLineChars="100"/>
        <w:rPr>
          <w:rFonts w:cs="宋体" w:asciiTheme="minorEastAsia" w:hAnsiTheme="minorEastAsia" w:eastAsiaTheme="minorEastAsia"/>
        </w:rPr>
      </w:pPr>
      <w:r>
        <w:rPr>
          <w:rFonts w:hint="eastAsia" w:cs="宋体" w:asciiTheme="minorEastAsia" w:hAnsiTheme="minorEastAsia" w:eastAsiaTheme="minorEastAsia"/>
        </w:rPr>
        <w:t>▲</w:t>
      </w:r>
      <w:r>
        <w:rPr>
          <w:rFonts w:hint="eastAsia" w:cs="宋体" w:asciiTheme="minorEastAsia" w:hAnsiTheme="minorEastAsia" w:eastAsiaTheme="minorEastAsia"/>
          <w:lang w:val="en-US"/>
        </w:rPr>
        <w:t>2</w:t>
      </w:r>
      <w:r>
        <w:rPr>
          <w:rFonts w:hint="eastAsia" w:cs="宋体" w:asciiTheme="minorEastAsia" w:hAnsiTheme="minorEastAsia" w:eastAsiaTheme="minorEastAsia"/>
        </w:rPr>
        <w:t>、审计项目由采购人指派一名项目现场负责人，现场负责人</w:t>
      </w:r>
      <w:r>
        <w:rPr>
          <w:rFonts w:hint="eastAsia" w:cs="宋体" w:asciiTheme="minorEastAsia" w:hAnsiTheme="minorEastAsia" w:eastAsiaTheme="minorEastAsia"/>
          <w:kern w:val="0"/>
        </w:rPr>
        <w:t>代表采购人</w:t>
      </w:r>
      <w:r>
        <w:rPr>
          <w:rFonts w:hint="eastAsia" w:asciiTheme="minorEastAsia" w:hAnsiTheme="minorEastAsia" w:eastAsiaTheme="minorEastAsia"/>
          <w:kern w:val="0"/>
        </w:rPr>
        <w:t>对中介机构实施项目进行全过程的管理和质量监控，须同其他审计人员全过程参与现场审计并参与考勤。</w:t>
      </w:r>
    </w:p>
    <w:p>
      <w:pPr>
        <w:pStyle w:val="10"/>
        <w:spacing w:before="0" w:beforeAutospacing="0" w:after="0" w:afterAutospacing="0" w:line="400" w:lineRule="exact"/>
        <w:ind w:firstLine="240" w:firstLineChars="100"/>
        <w:rPr>
          <w:rFonts w:cs="宋体"/>
        </w:rPr>
      </w:pPr>
      <w:r>
        <w:rPr>
          <w:rFonts w:hint="eastAsia" w:cs="宋体"/>
          <w:lang w:val="en-US"/>
        </w:rPr>
        <w:t>▲3</w:t>
      </w:r>
      <w:r>
        <w:rPr>
          <w:rFonts w:hint="eastAsia" w:cs="宋体"/>
        </w:rPr>
        <w:t>、供应商指派一名注册会计师（须是响应文件中参评人员）担任项目</w:t>
      </w:r>
      <w:r>
        <w:rPr>
          <w:rFonts w:hint="eastAsia" w:cs="宋体" w:asciiTheme="minorEastAsia" w:hAnsiTheme="minorEastAsia" w:eastAsiaTheme="minorEastAsia"/>
        </w:rPr>
        <w:t>现场负责人</w:t>
      </w:r>
      <w:r>
        <w:rPr>
          <w:rFonts w:hint="eastAsia" w:cs="宋体"/>
        </w:rPr>
        <w:t>，其他审计人员应从事审计工作三年(不含)以上、具有中级及以上专业职称的专业技术人员。供应商参审人员一经指派，不可随意变动，如遇特殊原因确需变换参审人员的，必须先征得采购人同意。供应商所提供的参审人员在服务期内，若发现不能胜任工作、违反采购人的纪律或个人身体方面原因，采购人可要求供应商调换参审人员。</w:t>
      </w:r>
    </w:p>
    <w:p>
      <w:pPr>
        <w:pStyle w:val="10"/>
        <w:spacing w:before="0" w:beforeAutospacing="0" w:after="0" w:afterAutospacing="0" w:line="400" w:lineRule="exact"/>
        <w:ind w:firstLine="240" w:firstLineChars="100"/>
        <w:rPr>
          <w:rFonts w:cs="宋体"/>
        </w:rPr>
      </w:pPr>
      <w:r>
        <w:rPr>
          <w:rFonts w:hint="eastAsia" w:cs="宋体"/>
          <w:lang w:val="en-US"/>
        </w:rPr>
        <w:t>▲4</w:t>
      </w:r>
      <w:r>
        <w:rPr>
          <w:rFonts w:hint="eastAsia" w:cs="宋体"/>
        </w:rPr>
        <w:t>、成交供应商应严格按照有关法律法规、政策文件及采购人要求</w:t>
      </w:r>
      <w:r>
        <w:rPr>
          <w:rFonts w:hint="eastAsia" w:asciiTheme="minorEastAsia" w:hAnsiTheme="minorEastAsia" w:eastAsiaTheme="minorEastAsia"/>
        </w:rPr>
        <w:t>制定详细可行的审计实施方案</w:t>
      </w:r>
      <w:r>
        <w:rPr>
          <w:rFonts w:hint="eastAsia" w:cs="宋体" w:asciiTheme="minorEastAsia" w:hAnsiTheme="minorEastAsia" w:eastAsiaTheme="minorEastAsia"/>
        </w:rPr>
        <w:t>，</w:t>
      </w:r>
      <w:r>
        <w:rPr>
          <w:rFonts w:hint="eastAsia" w:asciiTheme="minorEastAsia" w:hAnsiTheme="minorEastAsia" w:eastAsiaTheme="minorEastAsia"/>
        </w:rPr>
        <w:t>明确审计目标、审计范围、审计内容、审计人员分工、审计程序及方法、审计时间安排等</w:t>
      </w:r>
      <w:r>
        <w:rPr>
          <w:rFonts w:hint="eastAsia" w:cs="宋体" w:asciiTheme="minorEastAsia" w:hAnsiTheme="minorEastAsia" w:eastAsiaTheme="minorEastAsia"/>
        </w:rPr>
        <w:t>，</w:t>
      </w:r>
      <w:r>
        <w:rPr>
          <w:rFonts w:hint="eastAsia" w:cs="宋体"/>
        </w:rPr>
        <w:t>经采购人同意后按规定要求开展审计工作，并按规范程序获取审计证据，编制审计记录，对查出的问题做到事实清楚、证据充分，定性准确，提出的意见恰当，在约定时间内完成审计任务。供应商在审计工作的过程中遇到的重大问题应及时反馈、报告采购人。在审计过程中终止受聘或审计项目完成后，在采购人规定的时间前将审计报告等资料及时报送采购人，并将实施审计过程中收集和形成的全部（包括纸质、电子介质）资料及时移交采购人。报送的资料要求签章齐全、装订成册，索引号、页码标示规范、清晰。不得将参与审计工作的相关审计资料或结果用于与受托审计事项无关的方面。</w:t>
      </w:r>
    </w:p>
    <w:p>
      <w:pPr>
        <w:pStyle w:val="10"/>
        <w:spacing w:before="0" w:beforeAutospacing="0" w:after="0" w:afterAutospacing="0" w:line="400" w:lineRule="exact"/>
        <w:ind w:firstLine="240" w:firstLineChars="100"/>
        <w:rPr>
          <w:rFonts w:cs="宋体"/>
        </w:rPr>
      </w:pPr>
      <w:r>
        <w:rPr>
          <w:rFonts w:hint="eastAsia" w:cs="宋体"/>
          <w:lang w:val="en-US"/>
        </w:rPr>
        <w:t>▲5</w:t>
      </w:r>
      <w:r>
        <w:rPr>
          <w:rFonts w:hint="eastAsia" w:cs="宋体"/>
        </w:rPr>
        <w:t>、供应商派出参审人员应满足采购人制定的出勤要求，采购人会对供应商参审人员的出勤情况予以记录，并结合供应商的配合程度和工作完成情况，作为向供应商支付聘用费用的依据。</w:t>
      </w:r>
    </w:p>
    <w:p>
      <w:pPr>
        <w:pStyle w:val="10"/>
        <w:spacing w:before="0" w:beforeAutospacing="0" w:after="0" w:afterAutospacing="0" w:line="400" w:lineRule="exact"/>
        <w:ind w:firstLine="240" w:firstLineChars="100"/>
        <w:rPr>
          <w:rFonts w:cs="宋体"/>
        </w:rPr>
      </w:pPr>
      <w:r>
        <w:rPr>
          <w:rFonts w:hint="eastAsia" w:cs="宋体"/>
          <w:lang w:val="en-US"/>
        </w:rPr>
        <w:t>▲6</w:t>
      </w:r>
      <w:r>
        <w:rPr>
          <w:rFonts w:hint="eastAsia" w:cs="宋体"/>
        </w:rPr>
        <w:t>、供应商应独立配合采购人完成审计任务，接受相关业务培训、指导与监督，以及对其审计工作质量和履行协议情况的评定，并严格按照采购人指定的审计任务和审计要求开展审计工作。</w:t>
      </w:r>
    </w:p>
    <w:p>
      <w:pPr>
        <w:pStyle w:val="10"/>
        <w:spacing w:before="0" w:beforeAutospacing="0" w:after="0" w:afterAutospacing="0" w:line="400" w:lineRule="exact"/>
        <w:ind w:firstLine="240" w:firstLineChars="100"/>
        <w:rPr>
          <w:rFonts w:cs="宋体"/>
        </w:rPr>
      </w:pPr>
      <w:r>
        <w:rPr>
          <w:rFonts w:hint="eastAsia" w:cs="宋体"/>
          <w:lang w:val="en-US"/>
        </w:rPr>
        <w:t>▲7</w:t>
      </w:r>
      <w:r>
        <w:rPr>
          <w:rFonts w:hint="eastAsia" w:cs="宋体"/>
        </w:rPr>
        <w:t>、供应商派出的工作人员违反有关法律、法规或采购人制定的工作纪律或被有效投诉的，采购人除相应扣减要支付费用外，可视情节解除与供应商的服务协议。</w:t>
      </w:r>
    </w:p>
    <w:p>
      <w:pPr>
        <w:pStyle w:val="10"/>
        <w:spacing w:before="0" w:beforeAutospacing="0" w:after="0" w:afterAutospacing="0" w:line="400" w:lineRule="exact"/>
        <w:ind w:firstLine="240" w:firstLineChars="100"/>
        <w:rPr>
          <w:rFonts w:cs="宋体"/>
        </w:rPr>
      </w:pPr>
      <w:r>
        <w:rPr>
          <w:rFonts w:hint="eastAsia" w:cs="宋体"/>
          <w:lang w:val="en-US"/>
        </w:rPr>
        <w:t>▲8</w:t>
      </w:r>
      <w:r>
        <w:rPr>
          <w:rFonts w:hint="eastAsia" w:cs="宋体"/>
        </w:rPr>
        <w:t>、供应商对审计过程中知悉的国家秘密、商业秘密及有关资料负有保密责任，除法律另有规定外，未经采购人同意，不得将被审计单位提供的资料泄露给采购人以外的第三者；若供应商与被审计单位及有关人员存在不利于客观公正开展审计工作的关系，供应商应当主动向采购人提出回避。</w:t>
      </w:r>
    </w:p>
    <w:p>
      <w:pPr>
        <w:pStyle w:val="10"/>
        <w:spacing w:before="0" w:beforeAutospacing="0" w:after="0" w:afterAutospacing="0" w:line="400" w:lineRule="exact"/>
        <w:rPr>
          <w:rFonts w:cs="宋体"/>
        </w:rPr>
      </w:pPr>
      <w:r>
        <w:rPr>
          <w:rStyle w:val="13"/>
          <w:rFonts w:hint="eastAsia" w:cs="宋体"/>
        </w:rPr>
        <w:t>（三）责任与义务</w:t>
      </w:r>
    </w:p>
    <w:p>
      <w:pPr>
        <w:pStyle w:val="10"/>
        <w:spacing w:before="0" w:beforeAutospacing="0" w:after="0" w:afterAutospacing="0" w:line="400" w:lineRule="exact"/>
        <w:ind w:firstLine="480"/>
        <w:rPr>
          <w:rFonts w:cs="宋体"/>
        </w:rPr>
      </w:pPr>
      <w:r>
        <w:rPr>
          <w:rFonts w:hint="eastAsia" w:cs="宋体"/>
        </w:rPr>
        <w:t>1、承担审计工作的会计师事务所应当对出具审计报告、经济鉴证证明的真实性、准确性、完整性承担责任。</w:t>
      </w:r>
    </w:p>
    <w:p>
      <w:pPr>
        <w:pStyle w:val="10"/>
        <w:spacing w:before="0" w:beforeAutospacing="0" w:after="0" w:afterAutospacing="0" w:line="400" w:lineRule="exact"/>
        <w:ind w:firstLine="480"/>
        <w:rPr>
          <w:rFonts w:cs="宋体"/>
        </w:rPr>
      </w:pPr>
      <w:r>
        <w:rPr>
          <w:rFonts w:hint="eastAsia" w:cs="宋体"/>
        </w:rPr>
        <w:t>2、因供应商原因造成审计项目无法按时完成、审计任务出现重大失误、无故拖延拒绝接受审计任务等情况的，视为供应商违约，违约对采购人造成损失的，供应商还需另行支付相应的赔偿。</w:t>
      </w:r>
    </w:p>
    <w:p>
      <w:pPr>
        <w:pStyle w:val="10"/>
        <w:spacing w:before="0" w:beforeAutospacing="0" w:after="0" w:afterAutospacing="0" w:line="400" w:lineRule="exact"/>
        <w:ind w:firstLine="480"/>
        <w:rPr>
          <w:rFonts w:cs="宋体"/>
        </w:rPr>
      </w:pPr>
      <w:r>
        <w:rPr>
          <w:rFonts w:hint="eastAsia" w:cs="宋体"/>
        </w:rPr>
        <w:t>3、成交供应商收到成交通知后，须在规定时间内与采购人签署协议，未在规定时间内签署协议的，视为自动放弃中标资格。</w:t>
      </w:r>
    </w:p>
    <w:p>
      <w:pPr>
        <w:spacing w:line="440" w:lineRule="exact"/>
        <w:ind w:firstLine="480" w:firstLineChars="200"/>
        <w:rPr>
          <w:rFonts w:ascii="宋体" w:hAnsi="宋体"/>
          <w:sz w:val="24"/>
        </w:rPr>
      </w:pPr>
      <w:r>
        <w:rPr>
          <w:rFonts w:hint="eastAsia" w:ascii="宋体" w:hAnsi="宋体" w:cs="宋体"/>
          <w:sz w:val="24"/>
        </w:rPr>
        <w:t>四、服务期及付款方式</w:t>
      </w:r>
    </w:p>
    <w:p>
      <w:pPr>
        <w:spacing w:line="440" w:lineRule="exact"/>
        <w:ind w:firstLine="720" w:firstLineChars="300"/>
        <w:rPr>
          <w:rFonts w:ascii="宋体" w:hAnsi="宋体"/>
          <w:sz w:val="24"/>
        </w:rPr>
      </w:pPr>
      <w:r>
        <w:rPr>
          <w:rFonts w:ascii="宋体" w:hAnsi="宋体" w:cs="宋体"/>
          <w:sz w:val="24"/>
        </w:rPr>
        <w:t>1</w:t>
      </w:r>
      <w:r>
        <w:rPr>
          <w:rFonts w:hint="eastAsia" w:ascii="宋体" w:hAnsi="宋体" w:cs="宋体"/>
          <w:sz w:val="24"/>
        </w:rPr>
        <w:t>、服务地点：采购人指定地点。</w:t>
      </w:r>
    </w:p>
    <w:p>
      <w:pPr>
        <w:spacing w:line="440" w:lineRule="exact"/>
        <w:ind w:firstLine="720" w:firstLineChars="300"/>
        <w:outlineLvl w:val="1"/>
        <w:rPr>
          <w:rFonts w:asciiTheme="minorEastAsia" w:hAnsiTheme="minorEastAsia" w:eastAsiaTheme="minorEastAsia"/>
          <w:b/>
          <w:sz w:val="24"/>
          <w:szCs w:val="24"/>
        </w:rPr>
      </w:pPr>
      <w:bookmarkStart w:id="2" w:name="_Toc327728703"/>
      <w:r>
        <w:rPr>
          <w:rFonts w:ascii="宋体" w:hAnsi="宋体" w:cs="宋体"/>
          <w:sz w:val="24"/>
        </w:rPr>
        <w:t>2</w:t>
      </w:r>
      <w:r>
        <w:rPr>
          <w:rFonts w:hint="eastAsia" w:ascii="宋体" w:hAnsi="宋体" w:cs="宋体"/>
          <w:sz w:val="24"/>
        </w:rPr>
        <w:t>、服务期</w:t>
      </w:r>
      <w:r>
        <w:rPr>
          <w:rFonts w:hint="eastAsia" w:cs="宋体" w:asciiTheme="minorEastAsia" w:hAnsiTheme="minorEastAsia" w:eastAsiaTheme="minorEastAsia"/>
          <w:sz w:val="24"/>
          <w:szCs w:val="24"/>
        </w:rPr>
        <w:t>：</w:t>
      </w:r>
      <w:r>
        <w:rPr>
          <w:rStyle w:val="13"/>
          <w:rFonts w:hint="eastAsia" w:cs="宋体" w:asciiTheme="minorEastAsia" w:hAnsiTheme="minorEastAsia" w:eastAsiaTheme="minorEastAsia"/>
          <w:sz w:val="24"/>
          <w:szCs w:val="24"/>
        </w:rPr>
        <w:t>合同签订后，接到采购人的通知，在2023年5月31日之前出具</w:t>
      </w:r>
      <w:r>
        <w:rPr>
          <w:rFonts w:hint="eastAsia" w:cs="Arial" w:asciiTheme="minorEastAsia" w:hAnsiTheme="minorEastAsia" w:eastAsiaTheme="minorEastAsia"/>
          <w:b/>
          <w:snapToGrid w:val="0"/>
          <w:sz w:val="24"/>
          <w:szCs w:val="24"/>
        </w:rPr>
        <w:t>内控风险评估报告，</w:t>
      </w:r>
      <w:r>
        <w:rPr>
          <w:rStyle w:val="13"/>
          <w:rFonts w:hint="eastAsia" w:cs="宋体" w:asciiTheme="minorEastAsia" w:hAnsiTheme="minorEastAsia" w:eastAsiaTheme="minorEastAsia"/>
          <w:sz w:val="24"/>
          <w:szCs w:val="24"/>
        </w:rPr>
        <w:t>在2023年9月30日之前出具</w:t>
      </w:r>
      <w:r>
        <w:rPr>
          <w:rFonts w:hint="eastAsia" w:cs="Arial" w:asciiTheme="minorEastAsia" w:hAnsiTheme="minorEastAsia" w:eastAsiaTheme="minorEastAsia"/>
          <w:b/>
          <w:snapToGrid w:val="0"/>
          <w:sz w:val="24"/>
          <w:szCs w:val="24"/>
        </w:rPr>
        <w:t>内控评价报告</w:t>
      </w:r>
      <w:r>
        <w:rPr>
          <w:rFonts w:hint="eastAsia" w:asciiTheme="minorEastAsia" w:hAnsiTheme="minorEastAsia" w:eastAsiaTheme="minorEastAsia"/>
          <w:b/>
          <w:sz w:val="24"/>
          <w:szCs w:val="24"/>
        </w:rPr>
        <w:t>。</w:t>
      </w:r>
    </w:p>
    <w:p>
      <w:pPr>
        <w:widowControl/>
        <w:spacing w:line="540" w:lineRule="exact"/>
        <w:ind w:firstLine="720" w:firstLineChars="300"/>
        <w:rPr>
          <w:rFonts w:ascii="仿宋_GB2312" w:hAnsi="宋体" w:eastAsia="仿宋_GB2312" w:cs="Arial"/>
          <w:snapToGrid w:val="0"/>
          <w:sz w:val="28"/>
          <w:szCs w:val="28"/>
        </w:rPr>
      </w:pPr>
      <w:r>
        <w:rPr>
          <w:rFonts w:ascii="宋体" w:hAnsi="宋体" w:cs="宋体"/>
          <w:sz w:val="24"/>
        </w:rPr>
        <w:t>3</w:t>
      </w:r>
      <w:r>
        <w:rPr>
          <w:rFonts w:hint="eastAsia" w:ascii="宋体" w:hAnsi="宋体" w:cs="宋体"/>
          <w:sz w:val="24"/>
        </w:rPr>
        <w:t>、</w:t>
      </w:r>
      <w:r>
        <w:rPr>
          <w:rFonts w:hint="eastAsia" w:ascii="宋体" w:hAnsi="宋体" w:cs="Arial"/>
          <w:snapToGrid w:val="0"/>
          <w:sz w:val="24"/>
          <w:szCs w:val="24"/>
        </w:rPr>
        <w:t>如果出现不可预见的情况，影响审计工作的如期完成，或需要提前出具审计报告，双方均可要求变更约定事项，但应及时通知对方，并由双方协商解决。</w:t>
      </w:r>
    </w:p>
    <w:p>
      <w:pPr>
        <w:spacing w:line="440" w:lineRule="exact"/>
        <w:ind w:firstLine="720" w:firstLineChars="300"/>
        <w:outlineLvl w:val="1"/>
        <w:rPr>
          <w:rFonts w:ascii="宋体" w:hAnsi="宋体"/>
          <w:sz w:val="24"/>
        </w:rPr>
      </w:pPr>
      <w:r>
        <w:rPr>
          <w:rFonts w:hint="eastAsia" w:ascii="宋体" w:hAnsi="宋体" w:cs="宋体"/>
          <w:sz w:val="24"/>
        </w:rPr>
        <w:t>4、付款方式：</w:t>
      </w:r>
      <w:r>
        <w:rPr>
          <w:rFonts w:hint="eastAsia" w:ascii="宋体" w:hAnsi="宋体" w:cs="宋体"/>
          <w:kern w:val="0"/>
          <w:sz w:val="24"/>
        </w:rPr>
        <w:t>审计服务协议合同期内完成审计项目，若未出现违约情况，成交供应商出具正式审计报告并通过采购人（或实际付款人）验收全部合格后，30日内由采购人（或实际付款人）支付审计服务费。</w:t>
      </w:r>
      <w:bookmarkEnd w:id="2"/>
    </w:p>
    <w:p>
      <w:pPr>
        <w:spacing w:line="440" w:lineRule="exact"/>
        <w:ind w:firstLine="720" w:firstLineChars="300"/>
        <w:outlineLvl w:val="1"/>
        <w:rPr>
          <w:rFonts w:ascii="宋体" w:hAnsi="宋体"/>
          <w:sz w:val="24"/>
        </w:rPr>
      </w:pPr>
      <w:r>
        <w:rPr>
          <w:rFonts w:hint="eastAsia" w:ascii="宋体" w:hAnsi="宋体"/>
          <w:sz w:val="24"/>
        </w:rPr>
        <w:t>五、违约责任：</w:t>
      </w:r>
    </w:p>
    <w:p>
      <w:pPr>
        <w:spacing w:line="440" w:lineRule="exact"/>
        <w:ind w:firstLine="720" w:firstLineChars="300"/>
        <w:outlineLvl w:val="1"/>
        <w:rPr>
          <w:rFonts w:ascii="宋体" w:hAnsi="宋体"/>
          <w:sz w:val="24"/>
          <w:szCs w:val="24"/>
        </w:rPr>
      </w:pPr>
      <w:r>
        <w:rPr>
          <w:rFonts w:hint="eastAsia" w:ascii="宋体" w:hAnsi="宋体"/>
          <w:sz w:val="24"/>
          <w:szCs w:val="24"/>
        </w:rPr>
        <w:t>双方按照《中华人民共和国民法典》的规定承担违约责任。</w:t>
      </w: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spacing w:line="440" w:lineRule="exact"/>
        <w:jc w:val="center"/>
        <w:outlineLvl w:val="0"/>
        <w:rPr>
          <w:rFonts w:ascii="宋体" w:hAnsi="宋体"/>
          <w:b/>
          <w:sz w:val="36"/>
        </w:rPr>
      </w:pPr>
      <w:r>
        <w:rPr>
          <w:rFonts w:hint="eastAsia"/>
          <w:b/>
          <w:sz w:val="32"/>
          <w:szCs w:val="32"/>
        </w:rPr>
        <w:t xml:space="preserve">第四部分  </w:t>
      </w:r>
      <w:r>
        <w:rPr>
          <w:rFonts w:hint="eastAsia" w:ascii="宋体" w:hAnsi="宋体"/>
          <w:b/>
          <w:sz w:val="36"/>
        </w:rPr>
        <w:t>政府采购合同（范本）</w:t>
      </w:r>
    </w:p>
    <w:p>
      <w:pPr>
        <w:spacing w:beforeLines="100" w:afterLines="100" w:line="44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审计业务约定书</w:t>
      </w:r>
    </w:p>
    <w:p>
      <w:pPr>
        <w:spacing w:line="440" w:lineRule="exact"/>
        <w:ind w:right="1120" w:firstLine="480" w:firstLineChars="200"/>
        <w:rPr>
          <w:rFonts w:asciiTheme="minorEastAsia" w:hAnsiTheme="minorEastAsia" w:eastAsiaTheme="minorEastAsia"/>
          <w:b/>
          <w:sz w:val="24"/>
          <w:szCs w:val="24"/>
          <w:u w:val="single"/>
        </w:rPr>
      </w:pPr>
      <w:r>
        <w:rPr>
          <w:rFonts w:hint="eastAsia" w:asciiTheme="minorEastAsia" w:hAnsiTheme="minorEastAsia" w:eastAsiaTheme="minorEastAsia"/>
          <w:sz w:val="24"/>
          <w:szCs w:val="24"/>
        </w:rPr>
        <w:t>甲方：</w:t>
      </w:r>
    </w:p>
    <w:p>
      <w:pPr>
        <w:spacing w:line="440" w:lineRule="exact"/>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乙方：</w:t>
      </w:r>
    </w:p>
    <w:p>
      <w:pPr>
        <w:spacing w:line="440" w:lineRule="exact"/>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依据《中华人民共和国民法典》等有关采购法规，现依照年月日（项目编号：），兹由委托进行审计，经双方协商，达成以下约定：</w:t>
      </w:r>
    </w:p>
    <w:p>
      <w:pPr>
        <w:spacing w:line="440" w:lineRule="exact"/>
        <w:ind w:firstLine="482" w:firstLineChars="20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一、审计范围及内容</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1.1 审计范围</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1.2审计内容（内容包括但不限于）</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二、双方的责任</w:t>
      </w:r>
    </w:p>
    <w:p>
      <w:pPr>
        <w:widowControl/>
        <w:spacing w:line="440" w:lineRule="exact"/>
        <w:ind w:firstLine="482" w:firstLineChars="200"/>
        <w:rPr>
          <w:rFonts w:cs="Arial" w:asciiTheme="minorEastAsia" w:hAnsiTheme="minorEastAsia" w:eastAsiaTheme="minorEastAsia"/>
          <w:b/>
          <w:snapToGrid w:val="0"/>
          <w:sz w:val="24"/>
          <w:szCs w:val="24"/>
        </w:rPr>
      </w:pPr>
      <w:r>
        <w:rPr>
          <w:rFonts w:hint="eastAsia" w:cs="Arial" w:asciiTheme="minorEastAsia" w:hAnsiTheme="minorEastAsia" w:eastAsiaTheme="minorEastAsia"/>
          <w:b/>
          <w:snapToGrid w:val="0"/>
          <w:sz w:val="24"/>
          <w:szCs w:val="24"/>
        </w:rPr>
        <w:t>（一）甲方及被审计单位的责任</w:t>
      </w:r>
    </w:p>
    <w:p>
      <w:pPr>
        <w:spacing w:line="440" w:lineRule="exact"/>
        <w:ind w:firstLine="480" w:firstLineChars="200"/>
        <w:rPr>
          <w:rFonts w:cs="Arial" w:asciiTheme="minorEastAsia" w:hAnsiTheme="minorEastAsia" w:eastAsiaTheme="minorEastAsia"/>
          <w:snapToGrid w:val="0"/>
          <w:sz w:val="24"/>
          <w:szCs w:val="24"/>
        </w:rPr>
      </w:pPr>
      <w:r>
        <w:rPr>
          <w:rFonts w:hint="eastAsia" w:cs="Arial" w:asciiTheme="minorEastAsia" w:hAnsiTheme="minorEastAsia" w:eastAsiaTheme="minorEastAsia"/>
          <w:snapToGrid w:val="0"/>
          <w:sz w:val="24"/>
          <w:szCs w:val="24"/>
        </w:rPr>
        <w:t>2.1</w:t>
      </w:r>
      <w:r>
        <w:rPr>
          <w:rFonts w:hint="eastAsia" w:asciiTheme="minorEastAsia" w:hAnsiTheme="minorEastAsia" w:eastAsiaTheme="minorEastAsia"/>
          <w:sz w:val="24"/>
          <w:szCs w:val="24"/>
        </w:rPr>
        <w:t>根据《中华人民共和国会计法》、《事业单位会计制度》、《高等学校会计制度》，甲方有责任保证会计资料的真实性和完整性。因此，甲方管理层有责任妥善保存和提供会计记录（包括但不限于会计凭证、会计账簿及其他会计资料），这些记录必须真实、完整地反映甲方的财务状况、经营成果。</w:t>
      </w:r>
    </w:p>
    <w:p>
      <w:pPr>
        <w:widowControl/>
        <w:spacing w:line="440" w:lineRule="exact"/>
        <w:ind w:firstLine="480" w:firstLineChars="200"/>
        <w:rPr>
          <w:rFonts w:cs="Arial" w:asciiTheme="minorEastAsia" w:hAnsiTheme="minorEastAsia" w:eastAsiaTheme="minorEastAsia"/>
          <w:snapToGrid w:val="0"/>
          <w:sz w:val="24"/>
          <w:szCs w:val="24"/>
        </w:rPr>
      </w:pPr>
      <w:r>
        <w:rPr>
          <w:rFonts w:hint="eastAsia" w:cs="Arial" w:asciiTheme="minorEastAsia" w:hAnsiTheme="minorEastAsia" w:eastAsiaTheme="minorEastAsia"/>
          <w:snapToGrid w:val="0"/>
          <w:sz w:val="24"/>
          <w:szCs w:val="24"/>
        </w:rPr>
        <w:t>2.2</w:t>
      </w:r>
      <w:r>
        <w:rPr>
          <w:rFonts w:hint="eastAsia" w:asciiTheme="minorEastAsia" w:hAnsiTheme="minorEastAsia" w:eastAsiaTheme="minorEastAsia"/>
          <w:sz w:val="24"/>
          <w:szCs w:val="24"/>
        </w:rPr>
        <w:t>按照会计制度的规定编制和公允列报财务报表是甲方及其管理层的责任，这种责任包括：（l）按照会计制度的规定编制财务报表，并使其实现公允反映；（2）设计、执行和维护必要的内部控制，以使财务报表不存在由于舞弊或错误而导致的重大错报。</w:t>
      </w:r>
    </w:p>
    <w:p>
      <w:pPr>
        <w:widowControl/>
        <w:spacing w:line="440" w:lineRule="exact"/>
        <w:ind w:firstLine="480" w:firstLineChars="200"/>
        <w:rPr>
          <w:rFonts w:cs="Arial" w:asciiTheme="minorEastAsia" w:hAnsiTheme="minorEastAsia" w:eastAsiaTheme="minorEastAsia"/>
          <w:snapToGrid w:val="0"/>
          <w:sz w:val="24"/>
          <w:szCs w:val="24"/>
        </w:rPr>
      </w:pPr>
      <w:r>
        <w:rPr>
          <w:rFonts w:hint="eastAsia" w:asciiTheme="minorEastAsia" w:hAnsiTheme="minorEastAsia" w:eastAsiaTheme="minorEastAsia"/>
          <w:sz w:val="24"/>
          <w:szCs w:val="24"/>
        </w:rPr>
        <w:t>2.3</w:t>
      </w:r>
      <w:r>
        <w:rPr>
          <w:rFonts w:hint="eastAsia" w:cs="Arial" w:asciiTheme="minorEastAsia" w:hAnsiTheme="minorEastAsia" w:eastAsiaTheme="minorEastAsia"/>
          <w:snapToGrid w:val="0"/>
          <w:sz w:val="24"/>
          <w:szCs w:val="24"/>
        </w:rPr>
        <w:t>及时为乙方的审计工作提供与审计有关的所有记录、文件和所需的其他信息资料（按乙方要求时间提供审计所需的全部资料，如果在审计过程中需要补充资料，亦应及时提供），并保证所提供资料的真实性、合法性和完整性。</w:t>
      </w:r>
    </w:p>
    <w:p>
      <w:pPr>
        <w:widowControl/>
        <w:spacing w:line="440" w:lineRule="exact"/>
        <w:ind w:firstLine="480" w:firstLineChars="200"/>
        <w:rPr>
          <w:rFonts w:cs="Arial" w:asciiTheme="minorEastAsia" w:hAnsiTheme="minorEastAsia" w:eastAsiaTheme="minorEastAsia"/>
          <w:snapToGrid w:val="0"/>
          <w:sz w:val="24"/>
          <w:szCs w:val="24"/>
        </w:rPr>
      </w:pPr>
      <w:r>
        <w:rPr>
          <w:rFonts w:hint="eastAsia" w:cs="Arial" w:asciiTheme="minorEastAsia" w:hAnsiTheme="minorEastAsia" w:eastAsiaTheme="minorEastAsia"/>
          <w:snapToGrid w:val="0"/>
          <w:sz w:val="24"/>
          <w:szCs w:val="24"/>
        </w:rPr>
        <w:t>2.4确保乙方不受限制地接触其认为必要的甲方内部人员和其他相关人员。</w:t>
      </w:r>
    </w:p>
    <w:p>
      <w:pPr>
        <w:spacing w:line="440" w:lineRule="exact"/>
        <w:ind w:firstLine="480" w:firstLineChars="200"/>
        <w:rPr>
          <w:rFonts w:cs="Arial" w:asciiTheme="minorEastAsia" w:hAnsiTheme="minorEastAsia" w:eastAsiaTheme="minorEastAsia"/>
          <w:snapToGrid w:val="0"/>
          <w:sz w:val="24"/>
          <w:szCs w:val="24"/>
        </w:rPr>
      </w:pPr>
      <w:r>
        <w:rPr>
          <w:rFonts w:hint="eastAsia" w:asciiTheme="minorEastAsia" w:hAnsiTheme="minorEastAsia" w:eastAsiaTheme="minorEastAsia"/>
          <w:sz w:val="24"/>
          <w:szCs w:val="24"/>
        </w:rPr>
        <w:t>2.5甲方</w:t>
      </w:r>
      <w:r>
        <w:rPr>
          <w:rFonts w:hint="eastAsia" w:cs="Arial" w:asciiTheme="minorEastAsia" w:hAnsiTheme="minorEastAsia" w:eastAsiaTheme="minorEastAsia"/>
          <w:snapToGrid w:val="0"/>
          <w:sz w:val="24"/>
          <w:szCs w:val="24"/>
        </w:rPr>
        <w:t>管理层对其作出的与审计有关的声明予以书面确认。</w:t>
      </w:r>
    </w:p>
    <w:p>
      <w:pPr>
        <w:widowControl/>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2.6为乙方派出的有关工作人员提供必要的工作条件和协助，乙方将于外勤工作开始前提供主要事项清单。</w:t>
      </w:r>
    </w:p>
    <w:p>
      <w:pPr>
        <w:widowControl/>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2.7按照本约定书的约定及时足额支付审计费用。</w:t>
      </w:r>
    </w:p>
    <w:p>
      <w:pPr>
        <w:widowControl/>
        <w:spacing w:line="440" w:lineRule="exact"/>
        <w:ind w:firstLine="480" w:firstLineChars="200"/>
        <w:rPr>
          <w:rFonts w:cs="Arial" w:asciiTheme="minorEastAsia" w:hAnsiTheme="minorEastAsia" w:eastAsiaTheme="minorEastAsia"/>
          <w:sz w:val="24"/>
          <w:szCs w:val="24"/>
        </w:rPr>
      </w:pPr>
      <w:r>
        <w:rPr>
          <w:rFonts w:hint="eastAsia" w:asciiTheme="minorEastAsia" w:hAnsiTheme="minorEastAsia" w:eastAsiaTheme="minorEastAsia"/>
          <w:sz w:val="24"/>
          <w:szCs w:val="24"/>
        </w:rPr>
        <w:t>2.8 乙方的审计</w:t>
      </w:r>
      <w:r>
        <w:rPr>
          <w:rFonts w:hint="eastAsia" w:cs="Arial" w:asciiTheme="minorEastAsia" w:hAnsiTheme="minorEastAsia" w:eastAsiaTheme="minorEastAsia"/>
          <w:sz w:val="24"/>
          <w:szCs w:val="24"/>
        </w:rPr>
        <w:t>不能减轻</w:t>
      </w:r>
      <w:r>
        <w:rPr>
          <w:rFonts w:hint="eastAsia" w:asciiTheme="minorEastAsia" w:hAnsiTheme="minorEastAsia" w:eastAsiaTheme="minorEastAsia"/>
          <w:sz w:val="24"/>
          <w:szCs w:val="24"/>
        </w:rPr>
        <w:t>甲方及甲方管理层</w:t>
      </w:r>
      <w:r>
        <w:rPr>
          <w:rFonts w:hint="eastAsia" w:cs="Arial" w:asciiTheme="minorEastAsia" w:hAnsiTheme="minorEastAsia" w:eastAsiaTheme="minorEastAsia"/>
          <w:sz w:val="24"/>
          <w:szCs w:val="24"/>
        </w:rPr>
        <w:t>的责任。</w:t>
      </w:r>
    </w:p>
    <w:p>
      <w:pPr>
        <w:widowControl/>
        <w:spacing w:line="440" w:lineRule="exact"/>
        <w:ind w:firstLine="482" w:firstLineChars="20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（二）乙方的责任</w:t>
      </w:r>
    </w:p>
    <w:p>
      <w:pPr>
        <w:autoSpaceDE w:val="0"/>
        <w:autoSpaceDN w:val="0"/>
        <w:adjustRightInd w:val="0"/>
        <w:spacing w:line="440" w:lineRule="exact"/>
        <w:ind w:firstLine="480" w:firstLineChars="200"/>
        <w:jc w:val="left"/>
        <w:rPr>
          <w:rFonts w:cs="Arial" w:asciiTheme="minorEastAsia" w:hAnsiTheme="minorEastAsia" w:eastAsiaTheme="minorEastAsia"/>
          <w:snapToGrid w:val="0"/>
          <w:sz w:val="24"/>
          <w:szCs w:val="24"/>
        </w:rPr>
      </w:pPr>
      <w:r>
        <w:rPr>
          <w:rFonts w:hint="eastAsia" w:cs="Arial" w:asciiTheme="minorEastAsia" w:hAnsiTheme="minorEastAsia" w:eastAsiaTheme="minorEastAsia"/>
          <w:snapToGrid w:val="0"/>
          <w:sz w:val="24"/>
          <w:szCs w:val="24"/>
        </w:rPr>
        <w:t xml:space="preserve">2.9 </w:t>
      </w:r>
      <w:r>
        <w:rPr>
          <w:rFonts w:hint="eastAsia" w:cs="仿宋_GB2312" w:asciiTheme="minorEastAsia" w:hAnsiTheme="minorEastAsia" w:eastAsiaTheme="minorEastAsia"/>
          <w:kern w:val="0"/>
          <w:sz w:val="24"/>
          <w:szCs w:val="24"/>
        </w:rPr>
        <w:t>乙方的责任是在执行审计工作的基础上对</w:t>
      </w:r>
      <w:r>
        <w:rPr>
          <w:rFonts w:hint="eastAsia"/>
          <w:sz w:val="24"/>
          <w:szCs w:val="24"/>
        </w:rPr>
        <w:t>单位层面和业务层面内部控制建立和执行的有效性进行评价，对预算管理、</w:t>
      </w:r>
      <w:r>
        <w:rPr>
          <w:rFonts w:hint="eastAsia" w:ascii="宋体" w:hAnsi="宋体" w:cs="宋体"/>
          <w:kern w:val="0"/>
          <w:sz w:val="24"/>
          <w:szCs w:val="24"/>
        </w:rPr>
        <w:t>收支管理、采购管理、资产管理、建设项目管理、合同管理等六大领域经济活动情况进行风险评估</w:t>
      </w:r>
      <w:r>
        <w:rPr>
          <w:rFonts w:hint="eastAsia"/>
          <w:sz w:val="24"/>
          <w:szCs w:val="24"/>
        </w:rPr>
        <w:t>；</w:t>
      </w:r>
      <w:r>
        <w:rPr>
          <w:rFonts w:hint="eastAsia" w:asciiTheme="minorEastAsia" w:hAnsiTheme="minorEastAsia" w:eastAsiaTheme="minorEastAsia"/>
          <w:sz w:val="24"/>
          <w:szCs w:val="24"/>
        </w:rPr>
        <w:t>并</w:t>
      </w:r>
      <w:r>
        <w:rPr>
          <w:rFonts w:hint="eastAsia" w:cs="仿宋_GB2312" w:asciiTheme="minorEastAsia" w:hAnsiTheme="minorEastAsia" w:eastAsiaTheme="minorEastAsia"/>
          <w:kern w:val="0"/>
          <w:sz w:val="24"/>
          <w:szCs w:val="24"/>
        </w:rPr>
        <w:t>发表审计意见。乙方按照中国注册会计师</w:t>
      </w:r>
      <w:r>
        <w:rPr>
          <w:rFonts w:hint="eastAsia" w:cs="Arial" w:asciiTheme="minorEastAsia" w:hAnsiTheme="minorEastAsia" w:eastAsiaTheme="minorEastAsia"/>
          <w:snapToGrid w:val="0"/>
          <w:sz w:val="24"/>
          <w:szCs w:val="24"/>
        </w:rPr>
        <w:t>审计准则（以下简称审计准则）</w:t>
      </w:r>
      <w:r>
        <w:rPr>
          <w:rFonts w:hint="eastAsia" w:cs="仿宋_GB2312" w:asciiTheme="minorEastAsia" w:hAnsiTheme="minorEastAsia" w:eastAsiaTheme="minorEastAsia"/>
          <w:kern w:val="0"/>
          <w:sz w:val="24"/>
          <w:szCs w:val="24"/>
        </w:rPr>
        <w:t>的规定执行审计工作。</w:t>
      </w:r>
      <w:r>
        <w:rPr>
          <w:rFonts w:hint="eastAsia" w:cs="Arial" w:asciiTheme="minorEastAsia" w:hAnsiTheme="minorEastAsia" w:eastAsiaTheme="minorEastAsia"/>
          <w:snapToGrid w:val="0"/>
          <w:sz w:val="24"/>
          <w:szCs w:val="24"/>
        </w:rPr>
        <w:t>审计准则</w:t>
      </w:r>
      <w:r>
        <w:rPr>
          <w:rFonts w:hint="eastAsia" w:cs="仿宋_GB2312" w:asciiTheme="minorEastAsia" w:hAnsiTheme="minorEastAsia" w:eastAsiaTheme="minorEastAsia"/>
          <w:kern w:val="0"/>
          <w:sz w:val="24"/>
          <w:szCs w:val="24"/>
        </w:rPr>
        <w:t>要求注册会计师遵守中国注册会计师职业道德守则，计划和执行审计工作以对财务报表是否不存在重大错报获取合理保证。</w:t>
      </w:r>
    </w:p>
    <w:p>
      <w:pPr>
        <w:widowControl/>
        <w:spacing w:line="440" w:lineRule="exact"/>
        <w:ind w:firstLine="480" w:firstLineChars="200"/>
        <w:rPr>
          <w:rFonts w:asciiTheme="minorEastAsia" w:hAnsiTheme="minorEastAsia" w:eastAsiaTheme="minorEastAsia"/>
          <w:sz w:val="24"/>
          <w:szCs w:val="24"/>
        </w:rPr>
      </w:pPr>
      <w:r>
        <w:rPr>
          <w:rFonts w:hint="eastAsia" w:cs="Arial" w:asciiTheme="minorEastAsia" w:hAnsiTheme="minorEastAsia" w:eastAsiaTheme="minorEastAsia"/>
          <w:snapToGrid w:val="0"/>
          <w:sz w:val="24"/>
          <w:szCs w:val="24"/>
        </w:rPr>
        <w:t>2.10</w:t>
      </w:r>
      <w:r>
        <w:rPr>
          <w:rFonts w:hint="eastAsia" w:asciiTheme="minorEastAsia" w:hAnsiTheme="minorEastAsia" w:eastAsiaTheme="minorEastAsia"/>
          <w:sz w:val="24"/>
          <w:szCs w:val="24"/>
        </w:rPr>
        <w:t>审计工作涉及实施审计程序，以获取有关财务报表金额和披露的审计证据。选择的审计程序取决于乙方的判断，包括对由于舞弊或错误导致的财务报表重大错报风险的评估。在进行风险评估时，乙方考虑与财务报表编制和公允列报相关的内部控制，以设计恰当的审计程序，但目的并非对内部控制的有效性发表意见。审计工作还包括评价管理层选用会计政策的恰当性和作出会计估计的合理性，以及评价财务报表的总体列报。</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2.11由于审计和内部控制的固有限制，即使按照审计准则的规定适当的计划和执行审计工作，仍不可避免地存在财务报表的某些重大错报可能未被乙方发现的风险。</w:t>
      </w:r>
    </w:p>
    <w:p>
      <w:pPr>
        <w:spacing w:line="440" w:lineRule="exact"/>
        <w:ind w:firstLine="720" w:firstLineChars="300"/>
        <w:outlineLvl w:val="1"/>
        <w:rPr>
          <w:rFonts w:cs="Arial" w:asciiTheme="minorEastAsia" w:hAnsiTheme="minorEastAsia" w:eastAsiaTheme="minorEastAsia"/>
          <w:bCs/>
          <w:snapToGrid w:val="0"/>
          <w:sz w:val="24"/>
          <w:szCs w:val="24"/>
        </w:rPr>
      </w:pPr>
      <w:r>
        <w:rPr>
          <w:rFonts w:hint="eastAsia" w:cs="Arial" w:asciiTheme="minorEastAsia" w:hAnsiTheme="minorEastAsia" w:eastAsiaTheme="minorEastAsia"/>
          <w:snapToGrid w:val="0"/>
          <w:sz w:val="24"/>
          <w:szCs w:val="24"/>
        </w:rPr>
        <w:t>2.12乙方应按甲方审查通过的审计实施方案和相关规定开展审计，审计过程中自觉接受甲方指导与监督，乙方作为专业审计机构的责任和义务不因甲方审查监督等免除或减轻。乙方应按甲方要求和约定时间完成审计工作，出具审计报告，不得将全部或部分审计工作转包或委托其他人办理。乙方应于</w:t>
      </w:r>
      <w:r>
        <w:rPr>
          <w:rStyle w:val="13"/>
          <w:rFonts w:hint="eastAsia" w:cs="宋体" w:asciiTheme="minorEastAsia" w:hAnsiTheme="minorEastAsia" w:eastAsiaTheme="minorEastAsia"/>
          <w:b w:val="0"/>
          <w:bCs/>
          <w:sz w:val="24"/>
          <w:szCs w:val="24"/>
        </w:rPr>
        <w:t>合同签订后，接到采购人的通知，在2023年5月31日之前出具</w:t>
      </w:r>
      <w:r>
        <w:rPr>
          <w:rFonts w:hint="eastAsia" w:cs="Arial" w:asciiTheme="minorEastAsia" w:hAnsiTheme="minorEastAsia" w:eastAsiaTheme="minorEastAsia"/>
          <w:bCs/>
          <w:snapToGrid w:val="0"/>
          <w:sz w:val="24"/>
          <w:szCs w:val="24"/>
        </w:rPr>
        <w:t>内控风险评估报告，</w:t>
      </w:r>
      <w:r>
        <w:rPr>
          <w:rStyle w:val="13"/>
          <w:rFonts w:hint="eastAsia" w:cs="宋体" w:asciiTheme="minorEastAsia" w:hAnsiTheme="minorEastAsia" w:eastAsiaTheme="minorEastAsia"/>
          <w:b w:val="0"/>
          <w:bCs/>
          <w:sz w:val="24"/>
          <w:szCs w:val="24"/>
        </w:rPr>
        <w:t>在2023年9月30日之前出具</w:t>
      </w:r>
      <w:r>
        <w:rPr>
          <w:rFonts w:hint="eastAsia" w:cs="Arial" w:asciiTheme="minorEastAsia" w:hAnsiTheme="minorEastAsia" w:eastAsiaTheme="minorEastAsia"/>
          <w:bCs/>
          <w:snapToGrid w:val="0"/>
          <w:sz w:val="24"/>
          <w:szCs w:val="24"/>
        </w:rPr>
        <w:t>内控评价报告</w:t>
      </w:r>
      <w:r>
        <w:rPr>
          <w:rFonts w:hint="eastAsia" w:asciiTheme="minorEastAsia" w:hAnsiTheme="minorEastAsia" w:eastAsiaTheme="minorEastAsia"/>
          <w:bCs/>
          <w:sz w:val="24"/>
          <w:szCs w:val="24"/>
        </w:rPr>
        <w:t>。</w:t>
      </w:r>
    </w:p>
    <w:p>
      <w:pPr>
        <w:spacing w:line="440" w:lineRule="exact"/>
        <w:ind w:firstLine="480" w:firstLineChars="200"/>
        <w:rPr>
          <w:rFonts w:cs="Arial" w:asciiTheme="minorEastAsia" w:hAnsiTheme="minorEastAsia" w:eastAsiaTheme="minorEastAsia"/>
          <w:snapToGrid w:val="0"/>
          <w:sz w:val="24"/>
          <w:szCs w:val="24"/>
        </w:rPr>
      </w:pPr>
      <w:r>
        <w:rPr>
          <w:rFonts w:hint="eastAsia" w:cs="Arial" w:asciiTheme="minorEastAsia" w:hAnsiTheme="minorEastAsia" w:eastAsiaTheme="minorEastAsia"/>
          <w:snapToGrid w:val="0"/>
          <w:sz w:val="24"/>
          <w:szCs w:val="24"/>
        </w:rPr>
        <w:t>2.13审计工作完成后，乙方在提交审计报告的同时，应将审计相关底稿（复印件）提交甲方存档。</w:t>
      </w:r>
    </w:p>
    <w:p>
      <w:pPr>
        <w:spacing w:line="440" w:lineRule="exact"/>
        <w:ind w:firstLine="480" w:firstLineChars="200"/>
        <w:rPr>
          <w:rFonts w:cs="Arial" w:asciiTheme="minorEastAsia" w:hAnsiTheme="minorEastAsia" w:eastAsiaTheme="minorEastAsia"/>
          <w:snapToGrid w:val="0"/>
          <w:sz w:val="24"/>
          <w:szCs w:val="24"/>
        </w:rPr>
      </w:pPr>
      <w:r>
        <w:rPr>
          <w:rFonts w:hint="eastAsia" w:cs="Arial" w:asciiTheme="minorEastAsia" w:hAnsiTheme="minorEastAsia" w:eastAsiaTheme="minorEastAsia"/>
          <w:snapToGrid w:val="0"/>
          <w:sz w:val="24"/>
          <w:szCs w:val="24"/>
        </w:rPr>
        <w:t>2.14除下列情况外，乙方应当对执行业务过程中知悉的甲方信息予以保密：（1）法律法规允许披露，并取得甲方的授权；（2）根据法律法规的要求，为法律诉讼、仲裁准备文件或提供证据，以及向监管机构报告发现的违法行为；（3）在法律规定允许的情况下，在法律诉讼、仲裁中维护自己的合法权益；（4）接受注册会计师协会或监管机构的执业质量检查，答复其询问和调查；（5）法律法规、执业准则和职业道德规范规定的其他情形。</w:t>
      </w:r>
    </w:p>
    <w:p>
      <w:pPr>
        <w:spacing w:line="440" w:lineRule="exact"/>
        <w:ind w:firstLine="482" w:firstLineChars="20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三、审计收费</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3.1本次审计服务的收费总额为人民币元（大写：），由甲方支付。</w:t>
      </w:r>
    </w:p>
    <w:p>
      <w:pPr>
        <w:spacing w:line="440" w:lineRule="exact"/>
        <w:ind w:firstLine="480" w:firstLineChars="200"/>
        <w:outlineLvl w:val="1"/>
        <w:rPr>
          <w:rFonts w:ascii="宋体" w:hAnsi="宋体"/>
          <w:sz w:val="24"/>
        </w:rPr>
      </w:pPr>
      <w:r>
        <w:rPr>
          <w:rFonts w:hint="eastAsia" w:asciiTheme="minorEastAsia" w:hAnsiTheme="minorEastAsia" w:eastAsiaTheme="minorEastAsia"/>
          <w:sz w:val="24"/>
          <w:szCs w:val="24"/>
        </w:rPr>
        <w:t>3.2甲方应于乙方提交正式审计报告</w:t>
      </w:r>
      <w:r>
        <w:rPr>
          <w:rFonts w:hint="eastAsia" w:ascii="宋体" w:hAnsi="宋体" w:cs="宋体"/>
          <w:kern w:val="0"/>
          <w:sz w:val="24"/>
        </w:rPr>
        <w:t>并经验收合格后</w:t>
      </w:r>
      <w:r>
        <w:rPr>
          <w:rFonts w:hint="eastAsia" w:asciiTheme="minorEastAsia" w:hAnsiTheme="minorEastAsia" w:eastAsiaTheme="minorEastAsia"/>
          <w:sz w:val="24"/>
          <w:szCs w:val="24"/>
        </w:rPr>
        <w:t>，交付正规发票之日起30日内支付审计费。</w:t>
      </w:r>
    </w:p>
    <w:p>
      <w:pPr>
        <w:spacing w:line="440" w:lineRule="exact"/>
        <w:ind w:firstLine="480" w:firstLineChars="200"/>
        <w:rPr>
          <w:rFonts w:cs="Arial" w:asciiTheme="minorEastAsia" w:hAnsiTheme="minorEastAsia" w:eastAsiaTheme="minorEastAsia"/>
          <w:sz w:val="24"/>
          <w:szCs w:val="24"/>
        </w:rPr>
      </w:pPr>
      <w:r>
        <w:rPr>
          <w:rFonts w:hint="eastAsia" w:asciiTheme="minorEastAsia" w:hAnsiTheme="minorEastAsia" w:eastAsiaTheme="minorEastAsia"/>
          <w:sz w:val="24"/>
          <w:szCs w:val="24"/>
        </w:rPr>
        <w:t>3.3如果由于无法预见的原因，致使从事本约定书所涉及的审计服务内容较本约定书的约定有明显增加或者减少时，甲乙双方应通过协商，相应调整本部分第1项所述的审计费用。</w:t>
      </w:r>
    </w:p>
    <w:p>
      <w:pPr>
        <w:widowControl/>
        <w:tabs>
          <w:tab w:val="left" w:pos="1425"/>
          <w:tab w:val="left" w:pos="2355"/>
          <w:tab w:val="right" w:pos="10440"/>
        </w:tabs>
        <w:spacing w:line="440" w:lineRule="exact"/>
        <w:ind w:firstLine="480" w:firstLineChars="200"/>
        <w:rPr>
          <w:rFonts w:cs="Arial" w:asciiTheme="minorEastAsia" w:hAnsiTheme="minorEastAsia" w:eastAsiaTheme="minorEastAsia"/>
          <w:snapToGrid w:val="0"/>
          <w:kern w:val="0"/>
          <w:sz w:val="24"/>
          <w:szCs w:val="24"/>
        </w:rPr>
      </w:pPr>
      <w:r>
        <w:rPr>
          <w:rFonts w:hint="eastAsia" w:asciiTheme="minorEastAsia" w:hAnsiTheme="minorEastAsia" w:eastAsiaTheme="minorEastAsia"/>
          <w:sz w:val="24"/>
          <w:szCs w:val="24"/>
        </w:rPr>
        <w:t>3.4</w:t>
      </w:r>
      <w:r>
        <w:rPr>
          <w:rFonts w:hint="eastAsia" w:cs="Arial" w:asciiTheme="minorEastAsia" w:hAnsiTheme="minorEastAsia" w:eastAsiaTheme="minorEastAsia"/>
          <w:snapToGrid w:val="0"/>
          <w:kern w:val="0"/>
          <w:sz w:val="24"/>
          <w:szCs w:val="24"/>
        </w:rPr>
        <w:t>与本次审计有关的函证费、复印等办公费及</w:t>
      </w:r>
      <w:r>
        <w:rPr>
          <w:rFonts w:hint="eastAsia" w:asciiTheme="minorEastAsia" w:hAnsiTheme="minorEastAsia" w:eastAsiaTheme="minorEastAsia"/>
          <w:snapToGrid w:val="0"/>
          <w:kern w:val="0"/>
          <w:sz w:val="24"/>
          <w:szCs w:val="24"/>
        </w:rPr>
        <w:t>在福州市区（含学校常驻地）以外县市的住宿费用（如需要外审）由甲方承担，但乙方须提供相应的报销凭据</w:t>
      </w:r>
      <w:r>
        <w:rPr>
          <w:rFonts w:hint="eastAsia" w:cs="Arial" w:asciiTheme="minorEastAsia" w:hAnsiTheme="minorEastAsia" w:eastAsiaTheme="minorEastAsia"/>
          <w:snapToGrid w:val="0"/>
          <w:kern w:val="0"/>
          <w:sz w:val="24"/>
          <w:szCs w:val="24"/>
        </w:rPr>
        <w:t>；审计人员在审计期间的餐费、交通费等由乙方承担。</w:t>
      </w:r>
    </w:p>
    <w:p>
      <w:pPr>
        <w:spacing w:line="440" w:lineRule="exact"/>
        <w:ind w:firstLine="482" w:firstLineChars="20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四、审计报告和审计报告的使用</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4.1乙方按照中国注册会计师审计准则规定的格式和类型出具审计报告。</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4.2乙方向各被审计单位致送评价和评估报告一式六份。</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4.3被审计单位在提交或对外公布出具的审计报告及其后附的已审计财务报表时，不得对其进行修改。当甲方及被审计单位认为有必要修改会计数据、报表附注和所作的说明时，应当事先通知乙方，乙方将考虑有关的修改对审计报告的影响，必要时，将重新出具审计报告。</w:t>
      </w:r>
    </w:p>
    <w:p>
      <w:pPr>
        <w:spacing w:line="440" w:lineRule="exact"/>
        <w:ind w:firstLine="482" w:firstLineChars="20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五、本约定书有效期限</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本约定书自签署之日起生效，并在双方履行完毕本约定书约定的所有义务后终止。但其中第三、四、六、七、八、九项并不因本约定书终止而失效。</w:t>
      </w:r>
    </w:p>
    <w:p>
      <w:pPr>
        <w:spacing w:line="440" w:lineRule="exact"/>
        <w:ind w:firstLine="482" w:firstLineChars="20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六、约定事项的变更</w:t>
      </w:r>
    </w:p>
    <w:p>
      <w:pPr>
        <w:widowControl/>
        <w:spacing w:line="440" w:lineRule="exact"/>
        <w:ind w:firstLine="480" w:firstLineChars="200"/>
        <w:rPr>
          <w:rFonts w:cs="Arial" w:asciiTheme="minorEastAsia" w:hAnsiTheme="minorEastAsia" w:eastAsiaTheme="minorEastAsia"/>
          <w:snapToGrid w:val="0"/>
          <w:sz w:val="24"/>
          <w:szCs w:val="24"/>
        </w:rPr>
      </w:pPr>
      <w:r>
        <w:rPr>
          <w:rFonts w:hint="eastAsia" w:cs="Arial" w:asciiTheme="minorEastAsia" w:hAnsiTheme="minorEastAsia" w:eastAsiaTheme="minorEastAsia"/>
          <w:snapToGrid w:val="0"/>
          <w:sz w:val="24"/>
          <w:szCs w:val="24"/>
        </w:rPr>
        <w:t>如果出现不可预见的情况，影响审计工作的如期完成，或需要提前出具审计报告，甲、乙双方均可要求变更约定事项，但应及时通知对方，并由双方协商解决。</w:t>
      </w:r>
    </w:p>
    <w:p>
      <w:pPr>
        <w:spacing w:line="440" w:lineRule="exact"/>
        <w:ind w:firstLine="482" w:firstLineChars="20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七、违约责任</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甲、乙双方按照《中华人民共和国民法典》的规定承担违约责任。</w:t>
      </w:r>
    </w:p>
    <w:p>
      <w:pPr>
        <w:spacing w:line="440" w:lineRule="exact"/>
        <w:ind w:firstLine="482" w:firstLineChars="20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八、适用法律和争议解决</w:t>
      </w:r>
    </w:p>
    <w:p>
      <w:pPr>
        <w:widowControl/>
        <w:spacing w:line="440" w:lineRule="exact"/>
        <w:ind w:firstLine="480" w:firstLineChars="200"/>
        <w:rPr>
          <w:rFonts w:cs="Arial" w:asciiTheme="minorEastAsia" w:hAnsiTheme="minorEastAsia" w:eastAsiaTheme="minorEastAsia"/>
          <w:b/>
          <w:i/>
          <w:sz w:val="24"/>
          <w:szCs w:val="24"/>
        </w:rPr>
      </w:pPr>
      <w:r>
        <w:rPr>
          <w:rFonts w:hint="eastAsia" w:cs="Arial" w:asciiTheme="minorEastAsia" w:hAnsiTheme="minorEastAsia" w:eastAsiaTheme="minorEastAsia"/>
          <w:sz w:val="24"/>
          <w:szCs w:val="24"/>
        </w:rPr>
        <w:t>本约定书的所有方面均应适用中华人民共和国法律进行解释并受其约束。</w:t>
      </w:r>
      <w:r>
        <w:rPr>
          <w:rFonts w:hint="eastAsia" w:asciiTheme="minorEastAsia" w:hAnsiTheme="minorEastAsia" w:eastAsiaTheme="minorEastAsia"/>
          <w:sz w:val="24"/>
          <w:szCs w:val="24"/>
        </w:rPr>
        <w:t>本约定书履行地为乙方出具审计报告所在地，因本约定书所引起的或与本约定书有关的任何纠纷或争议（包括关于本约定书条款的存在、效力或终止，或无效之后果），双方协商确定采取以下第</w:t>
      </w:r>
      <w:r>
        <w:rPr>
          <w:rFonts w:hint="eastAsia" w:asciiTheme="minorEastAsia" w:hAnsiTheme="minorEastAsia" w:eastAsiaTheme="minorEastAsia"/>
          <w:sz w:val="24"/>
          <w:szCs w:val="24"/>
          <w:u w:val="single"/>
        </w:rPr>
        <w:t xml:space="preserve">     __（2）__</w:t>
      </w:r>
      <w:r>
        <w:rPr>
          <w:rFonts w:hint="eastAsia" w:asciiTheme="minorEastAsia" w:hAnsiTheme="minorEastAsia" w:eastAsiaTheme="minorEastAsia"/>
          <w:sz w:val="24"/>
          <w:szCs w:val="24"/>
        </w:rPr>
        <w:t>种方式予以解决：</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（l）向有管辖权的人民法院提起诉讼；</w:t>
      </w:r>
    </w:p>
    <w:p>
      <w:pPr>
        <w:widowControl/>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（2）提交福州仲裁委员会仲裁。</w:t>
      </w:r>
    </w:p>
    <w:p>
      <w:pPr>
        <w:spacing w:line="440" w:lineRule="exact"/>
        <w:ind w:firstLine="482" w:firstLineChars="20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九、双方对其他有关事项的约定</w:t>
      </w:r>
    </w:p>
    <w:p>
      <w:pPr>
        <w:spacing w:line="440" w:lineRule="exact"/>
        <w:ind w:firstLine="480" w:firstLineChars="200"/>
        <w:rPr>
          <w:rFonts w:cs="Arial" w:asciiTheme="minorEastAsia" w:hAnsiTheme="minorEastAsia" w:eastAsiaTheme="minorEastAsia"/>
          <w:snapToGrid w:val="0"/>
          <w:sz w:val="24"/>
          <w:szCs w:val="24"/>
        </w:rPr>
      </w:pPr>
      <w:r>
        <w:rPr>
          <w:rFonts w:hint="eastAsia" w:cs="Arial" w:asciiTheme="minorEastAsia" w:hAnsiTheme="minorEastAsia" w:eastAsiaTheme="minorEastAsia"/>
          <w:snapToGrid w:val="0"/>
          <w:sz w:val="24"/>
          <w:szCs w:val="24"/>
        </w:rPr>
        <w:t>本约定书一式四份，具有同等法律效力。</w:t>
      </w:r>
    </w:p>
    <w:p>
      <w:pPr>
        <w:spacing w:line="440" w:lineRule="exact"/>
        <w:ind w:left="5460" w:hanging="5460" w:hangingChars="1950"/>
        <w:rPr>
          <w:rFonts w:ascii="仿宋_GB2312" w:hAnsi="宋体" w:eastAsia="仿宋_GB2312" w:cs="Arial"/>
          <w:snapToGrid w:val="0"/>
          <w:sz w:val="28"/>
          <w:szCs w:val="28"/>
        </w:rPr>
      </w:pPr>
      <w:r>
        <w:rPr>
          <w:rFonts w:hint="eastAsia" w:ascii="仿宋_GB2312" w:hAnsi="宋体" w:eastAsia="仿宋_GB2312" w:cs="Arial"/>
          <w:snapToGrid w:val="0"/>
          <w:sz w:val="28"/>
          <w:szCs w:val="28"/>
        </w:rPr>
        <w:t>甲方：                         乙方：</w:t>
      </w:r>
    </w:p>
    <w:p>
      <w:pPr>
        <w:spacing w:line="440" w:lineRule="exact"/>
        <w:ind w:firstLine="840" w:firstLineChars="300"/>
        <w:rPr>
          <w:rFonts w:ascii="仿宋_GB2312" w:hAnsi="宋体" w:eastAsia="仿宋_GB2312" w:cs="Arial"/>
          <w:snapToGrid w:val="0"/>
          <w:sz w:val="28"/>
          <w:szCs w:val="28"/>
        </w:rPr>
      </w:pPr>
      <w:r>
        <w:rPr>
          <w:rFonts w:hint="eastAsia" w:ascii="仿宋_GB2312" w:hAnsi="宋体" w:eastAsia="仿宋_GB2312" w:cs="Arial"/>
          <w:snapToGrid w:val="0"/>
          <w:sz w:val="28"/>
          <w:szCs w:val="28"/>
        </w:rPr>
        <w:t xml:space="preserve">（盖章）                           （盖章 ）                                 </w:t>
      </w:r>
    </w:p>
    <w:p>
      <w:pPr>
        <w:spacing w:line="440" w:lineRule="exact"/>
        <w:rPr>
          <w:rFonts w:ascii="仿宋_GB2312" w:hAnsi="宋体" w:eastAsia="仿宋_GB2312"/>
          <w:sz w:val="28"/>
          <w:szCs w:val="28"/>
        </w:rPr>
      </w:pPr>
      <w:r>
        <w:rPr>
          <w:rFonts w:hint="eastAsia" w:ascii="仿宋_GB2312" w:hAnsi="宋体" w:eastAsia="仿宋_GB2312" w:cs="Arial"/>
          <w:snapToGrid w:val="0"/>
          <w:sz w:val="28"/>
          <w:szCs w:val="28"/>
        </w:rPr>
        <w:t>授权代表：（签名或盖章）         授权代表：（签名或盖章）</w:t>
      </w:r>
    </w:p>
    <w:p>
      <w:pPr>
        <w:spacing w:line="440" w:lineRule="exact"/>
        <w:ind w:firstLine="1260" w:firstLineChars="450"/>
        <w:rPr>
          <w:rFonts w:ascii="仿宋_GB2312" w:hAnsi="宋体" w:eastAsia="仿宋_GB2312" w:cs="Arial"/>
          <w:snapToGrid w:val="0"/>
          <w:sz w:val="28"/>
          <w:szCs w:val="28"/>
        </w:rPr>
      </w:pPr>
      <w:r>
        <w:rPr>
          <w:rFonts w:hint="eastAsia" w:ascii="仿宋_GB2312" w:hAnsi="宋体" w:eastAsia="仿宋_GB2312" w:cs="Arial"/>
          <w:snapToGrid w:val="0"/>
          <w:sz w:val="28"/>
          <w:szCs w:val="28"/>
        </w:rPr>
        <w:t>年   月   日                    年   月   日</w:t>
      </w:r>
    </w:p>
    <w:p>
      <w:pPr>
        <w:adjustRightInd w:val="0"/>
        <w:snapToGrid w:val="0"/>
        <w:rPr>
          <w:rFonts w:ascii="宋体" w:hAnsi="宋体"/>
          <w:szCs w:val="21"/>
        </w:rPr>
      </w:pPr>
    </w:p>
    <w:p>
      <w:pPr>
        <w:spacing w:line="520" w:lineRule="exact"/>
        <w:ind w:firstLine="1100" w:firstLineChars="249"/>
        <w:rPr>
          <w:rFonts w:ascii="宋体" w:hAnsi="宋体"/>
          <w:b/>
          <w:sz w:val="44"/>
        </w:rPr>
      </w:pPr>
      <w:r>
        <w:rPr>
          <w:rFonts w:hint="eastAsia" w:ascii="宋体" w:hAnsi="宋体"/>
          <w:b/>
          <w:sz w:val="44"/>
        </w:rPr>
        <w:t>第五部分  附件——响应文件格式</w:t>
      </w:r>
    </w:p>
    <w:p>
      <w:pPr>
        <w:spacing w:line="460" w:lineRule="exact"/>
        <w:rPr>
          <w:rFonts w:ascii="仿宋_GB2312" w:eastAsia="仿宋_GB2312"/>
          <w:sz w:val="28"/>
          <w:szCs w:val="28"/>
        </w:rPr>
      </w:pPr>
    </w:p>
    <w:p>
      <w:pPr>
        <w:jc w:val="center"/>
        <w:rPr>
          <w:rFonts w:ascii="宋体" w:hAnsi="宋体"/>
          <w:b/>
          <w:sz w:val="72"/>
        </w:rPr>
      </w:pPr>
      <w:r>
        <w:rPr>
          <w:rFonts w:hint="eastAsia" w:ascii="宋体" w:hAnsi="宋体"/>
          <w:b/>
          <w:sz w:val="72"/>
        </w:rPr>
        <w:t>福建工程学院校内磋商采购</w:t>
      </w:r>
    </w:p>
    <w:p>
      <w:pPr>
        <w:jc w:val="center"/>
        <w:rPr>
          <w:rFonts w:ascii="宋体" w:hAnsi="宋体"/>
          <w:b/>
          <w:sz w:val="72"/>
        </w:rPr>
      </w:pPr>
      <w:r>
        <w:rPr>
          <w:rFonts w:hint="eastAsia" w:ascii="宋体" w:hAnsi="宋体"/>
          <w:b/>
          <w:sz w:val="72"/>
        </w:rPr>
        <w:t>服务项目</w:t>
      </w:r>
    </w:p>
    <w:p>
      <w:pPr>
        <w:jc w:val="center"/>
        <w:rPr>
          <w:rFonts w:ascii="宋体" w:hAnsi="宋体"/>
          <w:b/>
          <w:sz w:val="72"/>
        </w:rPr>
      </w:pPr>
      <w:r>
        <w:rPr>
          <w:rFonts w:hint="eastAsia" w:ascii="宋体" w:hAnsi="宋体"/>
          <w:b/>
          <w:sz w:val="72"/>
        </w:rPr>
        <w:t>响 应 文 件</w:t>
      </w:r>
    </w:p>
    <w:p>
      <w:pPr>
        <w:jc w:val="center"/>
        <w:rPr>
          <w:rFonts w:ascii="宋体" w:hAnsi="宋体"/>
          <w:b/>
          <w:sz w:val="72"/>
        </w:rPr>
      </w:pPr>
    </w:p>
    <w:p>
      <w:pPr>
        <w:jc w:val="center"/>
        <w:rPr>
          <w:rFonts w:ascii="宋体" w:hAnsi="宋体"/>
          <w:b/>
          <w:sz w:val="72"/>
        </w:rPr>
      </w:pPr>
    </w:p>
    <w:p>
      <w:pPr>
        <w:ind w:firstLine="1084" w:firstLineChars="300"/>
        <w:rPr>
          <w:rFonts w:ascii="宋体" w:hAnsi="宋体"/>
          <w:b/>
          <w:sz w:val="36"/>
        </w:rPr>
      </w:pPr>
      <w:r>
        <w:rPr>
          <w:rFonts w:hint="eastAsia" w:ascii="宋体" w:hAnsi="宋体"/>
          <w:b/>
          <w:sz w:val="36"/>
        </w:rPr>
        <w:t>项 目 名 称：</w:t>
      </w:r>
    </w:p>
    <w:p>
      <w:pPr>
        <w:ind w:firstLine="1084" w:firstLineChars="300"/>
        <w:rPr>
          <w:rFonts w:ascii="宋体" w:hAnsi="宋体"/>
          <w:b/>
          <w:sz w:val="36"/>
          <w:u w:val="single"/>
        </w:rPr>
      </w:pPr>
      <w:r>
        <w:rPr>
          <w:rFonts w:hint="eastAsia" w:ascii="宋体" w:hAnsi="宋体"/>
          <w:b/>
          <w:sz w:val="36"/>
        </w:rPr>
        <w:t>招 标 编 号：</w:t>
      </w:r>
    </w:p>
    <w:p>
      <w:pPr>
        <w:ind w:firstLine="1066" w:firstLineChars="295"/>
        <w:rPr>
          <w:rFonts w:ascii="宋体" w:hAnsi="宋体"/>
          <w:b/>
          <w:sz w:val="36"/>
        </w:rPr>
      </w:pPr>
      <w:r>
        <w:rPr>
          <w:rFonts w:hint="eastAsia" w:ascii="宋体" w:hAnsi="宋体"/>
          <w:b/>
          <w:sz w:val="36"/>
        </w:rPr>
        <w:t xml:space="preserve">合   同  包: </w:t>
      </w:r>
    </w:p>
    <w:p>
      <w:pPr>
        <w:rPr>
          <w:rFonts w:ascii="宋体" w:hAnsi="宋体"/>
          <w:b/>
          <w:sz w:val="36"/>
        </w:rPr>
      </w:pPr>
    </w:p>
    <w:p>
      <w:pPr>
        <w:rPr>
          <w:rFonts w:ascii="宋体" w:hAnsi="宋体"/>
          <w:b/>
          <w:sz w:val="36"/>
        </w:rPr>
      </w:pPr>
    </w:p>
    <w:p>
      <w:pPr>
        <w:rPr>
          <w:rFonts w:ascii="宋体" w:hAnsi="宋体"/>
          <w:b/>
          <w:sz w:val="36"/>
          <w:u w:val="single"/>
        </w:rPr>
      </w:pPr>
      <w:r>
        <w:rPr>
          <w:rFonts w:hint="eastAsia" w:ascii="宋体" w:hAnsi="宋体"/>
          <w:b/>
          <w:sz w:val="36"/>
        </w:rPr>
        <w:t xml:space="preserve">      报价供应商名称 ：</w:t>
      </w:r>
      <w:r>
        <w:rPr>
          <w:rFonts w:hint="eastAsia" w:ascii="宋体" w:hAnsi="宋体"/>
          <w:b/>
          <w:sz w:val="36"/>
          <w:u w:val="single"/>
        </w:rPr>
        <w:t xml:space="preserve">        （加盖公章） </w:t>
      </w:r>
    </w:p>
    <w:p>
      <w:pPr>
        <w:rPr>
          <w:rFonts w:ascii="宋体" w:hAnsi="宋体"/>
          <w:b/>
          <w:sz w:val="36"/>
        </w:rPr>
      </w:pPr>
      <w:r>
        <w:rPr>
          <w:rFonts w:hint="eastAsia" w:ascii="宋体" w:hAnsi="宋体"/>
          <w:b/>
          <w:sz w:val="36"/>
        </w:rPr>
        <w:t xml:space="preserve">      日      期 ：</w:t>
      </w:r>
    </w:p>
    <w:p>
      <w:pPr>
        <w:ind w:firstLine="1066" w:firstLineChars="295"/>
        <w:rPr>
          <w:rFonts w:ascii="宋体" w:hAnsi="宋体"/>
          <w:b/>
          <w:sz w:val="36"/>
        </w:rPr>
      </w:pPr>
      <w:r>
        <w:rPr>
          <w:rFonts w:hint="eastAsia" w:ascii="宋体" w:hAnsi="宋体"/>
          <w:b/>
          <w:sz w:val="36"/>
        </w:rPr>
        <w:t>联   系  人：</w:t>
      </w:r>
    </w:p>
    <w:p>
      <w:pPr>
        <w:rPr>
          <w:rFonts w:ascii="宋体" w:hAnsi="宋体"/>
          <w:b/>
          <w:sz w:val="36"/>
          <w:u w:val="single"/>
        </w:rPr>
      </w:pPr>
      <w:r>
        <w:rPr>
          <w:rFonts w:hint="eastAsia" w:ascii="宋体" w:hAnsi="宋体"/>
          <w:b/>
          <w:sz w:val="36"/>
        </w:rPr>
        <w:t xml:space="preserve">      联 系 电 话：</w:t>
      </w:r>
    </w:p>
    <w:p>
      <w:pPr>
        <w:ind w:firstLine="1066" w:firstLineChars="295"/>
        <w:rPr>
          <w:rFonts w:ascii="宋体" w:hAnsi="宋体"/>
          <w:b/>
          <w:sz w:val="36"/>
          <w:szCs w:val="36"/>
        </w:rPr>
      </w:pPr>
      <w:r>
        <w:rPr>
          <w:rFonts w:hint="eastAsia" w:ascii="宋体" w:hAnsi="宋体"/>
          <w:b/>
          <w:sz w:val="36"/>
        </w:rPr>
        <w:t>联 系 地 址：</w:t>
      </w:r>
      <w:r>
        <w:rPr>
          <w:rFonts w:ascii="宋体" w:hAnsi="宋体"/>
          <w:b/>
          <w:bCs/>
          <w:sz w:val="36"/>
          <w:szCs w:val="36"/>
        </w:rPr>
        <w:br w:type="page"/>
      </w:r>
    </w:p>
    <w:p>
      <w:pPr>
        <w:spacing w:line="520" w:lineRule="exact"/>
        <w:ind w:firstLine="723" w:firstLineChars="200"/>
        <w:jc w:val="center"/>
        <w:rPr>
          <w:rFonts w:ascii="宋体" w:hAnsi="宋体"/>
          <w:b/>
          <w:sz w:val="36"/>
          <w:szCs w:val="36"/>
        </w:rPr>
      </w:pPr>
      <w:r>
        <w:rPr>
          <w:rFonts w:hint="eastAsia" w:ascii="宋体" w:hAnsi="宋体"/>
          <w:b/>
          <w:sz w:val="36"/>
          <w:szCs w:val="36"/>
        </w:rPr>
        <w:t>目录</w:t>
      </w:r>
    </w:p>
    <w:p>
      <w:pPr>
        <w:tabs>
          <w:tab w:val="left" w:pos="900"/>
        </w:tabs>
        <w:spacing w:line="520" w:lineRule="exact"/>
        <w:ind w:left="540"/>
        <w:jc w:val="left"/>
        <w:rPr>
          <w:rFonts w:ascii="宋体" w:hAnsi="宋体" w:cs="宋体"/>
          <w:sz w:val="24"/>
        </w:rPr>
      </w:pPr>
      <w:r>
        <w:rPr>
          <w:rFonts w:hint="eastAsia" w:ascii="宋体" w:hAnsi="宋体" w:cs="宋体"/>
          <w:sz w:val="24"/>
        </w:rPr>
        <w:t>1、投标函</w:t>
      </w:r>
    </w:p>
    <w:p>
      <w:pPr>
        <w:tabs>
          <w:tab w:val="left" w:pos="900"/>
        </w:tabs>
        <w:spacing w:line="520" w:lineRule="exact"/>
        <w:ind w:left="540"/>
        <w:jc w:val="left"/>
        <w:rPr>
          <w:sz w:val="24"/>
        </w:rPr>
      </w:pPr>
      <w:r>
        <w:rPr>
          <w:rFonts w:hint="eastAsia"/>
          <w:sz w:val="24"/>
        </w:rPr>
        <w:t>2、报价一览表</w:t>
      </w:r>
    </w:p>
    <w:p>
      <w:pPr>
        <w:tabs>
          <w:tab w:val="left" w:pos="900"/>
        </w:tabs>
        <w:spacing w:line="520" w:lineRule="exact"/>
        <w:ind w:left="540"/>
        <w:jc w:val="left"/>
        <w:rPr>
          <w:rFonts w:ascii="宋体" w:hAnsi="宋体" w:cs="宋体"/>
          <w:sz w:val="24"/>
        </w:rPr>
      </w:pPr>
      <w:r>
        <w:rPr>
          <w:rFonts w:hint="eastAsia" w:ascii="宋体" w:hAnsi="宋体" w:cs="宋体"/>
          <w:sz w:val="24"/>
        </w:rPr>
        <w:t>3、法定代表人授权书。</w:t>
      </w:r>
    </w:p>
    <w:p>
      <w:pPr>
        <w:tabs>
          <w:tab w:val="left" w:pos="900"/>
        </w:tabs>
        <w:spacing w:line="520" w:lineRule="exact"/>
        <w:ind w:left="540"/>
        <w:jc w:val="left"/>
        <w:rPr>
          <w:rFonts w:ascii="宋体" w:hAnsi="宋体" w:cs="宋体"/>
          <w:sz w:val="24"/>
        </w:rPr>
      </w:pPr>
      <w:r>
        <w:rPr>
          <w:rFonts w:hint="eastAsia" w:ascii="宋体" w:hAnsi="宋体" w:cs="宋体"/>
          <w:sz w:val="24"/>
        </w:rPr>
        <w:t>4、企业法人执照副本复印件</w:t>
      </w:r>
    </w:p>
    <w:p>
      <w:pPr>
        <w:tabs>
          <w:tab w:val="left" w:pos="900"/>
        </w:tabs>
        <w:spacing w:line="520" w:lineRule="exact"/>
        <w:ind w:left="540"/>
        <w:jc w:val="left"/>
        <w:rPr>
          <w:rFonts w:ascii="宋体" w:hAnsi="宋体" w:cs="宋体"/>
          <w:sz w:val="24"/>
        </w:rPr>
      </w:pPr>
      <w:r>
        <w:rPr>
          <w:rFonts w:hint="eastAsia" w:ascii="宋体" w:hAnsi="宋体" w:cs="宋体"/>
          <w:sz w:val="24"/>
        </w:rPr>
        <w:t>5、税务登记证明复印件</w:t>
      </w:r>
    </w:p>
    <w:p>
      <w:pPr>
        <w:tabs>
          <w:tab w:val="left" w:pos="900"/>
        </w:tabs>
        <w:spacing w:line="520" w:lineRule="exact"/>
        <w:ind w:left="540"/>
        <w:jc w:val="left"/>
        <w:rPr>
          <w:rFonts w:ascii="宋体" w:hAnsi="宋体" w:cs="宋体"/>
          <w:sz w:val="24"/>
        </w:rPr>
      </w:pPr>
      <w:r>
        <w:rPr>
          <w:rFonts w:hint="eastAsia" w:ascii="宋体" w:hAnsi="宋体" w:cs="仿宋"/>
          <w:sz w:val="24"/>
        </w:rPr>
        <w:t>6、组织机构代码证。</w:t>
      </w:r>
    </w:p>
    <w:p>
      <w:pPr>
        <w:tabs>
          <w:tab w:val="left" w:pos="900"/>
        </w:tabs>
        <w:spacing w:line="520" w:lineRule="exact"/>
        <w:ind w:left="540"/>
        <w:jc w:val="left"/>
        <w:rPr>
          <w:rFonts w:ascii="宋体" w:hAnsi="宋体" w:cs="宋体"/>
          <w:sz w:val="24"/>
        </w:rPr>
      </w:pPr>
      <w:r>
        <w:rPr>
          <w:rFonts w:hint="eastAsia" w:ascii="宋体" w:hAnsi="宋体" w:cs="宋体"/>
          <w:sz w:val="24"/>
        </w:rPr>
        <w:t>7、法定代表人身份证复印件。</w:t>
      </w:r>
    </w:p>
    <w:p>
      <w:pPr>
        <w:tabs>
          <w:tab w:val="left" w:pos="900"/>
        </w:tabs>
        <w:spacing w:line="520" w:lineRule="exact"/>
        <w:ind w:left="540"/>
        <w:jc w:val="left"/>
        <w:rPr>
          <w:rFonts w:ascii="宋体" w:hAnsi="宋体" w:cs="宋体"/>
          <w:sz w:val="24"/>
        </w:rPr>
      </w:pPr>
      <w:r>
        <w:rPr>
          <w:rFonts w:hint="eastAsia" w:ascii="宋体" w:hAnsi="宋体" w:cs="宋体"/>
          <w:sz w:val="24"/>
        </w:rPr>
        <w:t>8、投标代表身份证复印件。</w:t>
      </w:r>
    </w:p>
    <w:p>
      <w:pPr>
        <w:tabs>
          <w:tab w:val="left" w:pos="900"/>
        </w:tabs>
        <w:spacing w:line="520" w:lineRule="exact"/>
        <w:ind w:left="540"/>
        <w:jc w:val="left"/>
        <w:rPr>
          <w:rFonts w:ascii="宋体" w:hAnsi="宋体" w:cs="宋体"/>
          <w:bCs/>
          <w:kern w:val="0"/>
          <w:sz w:val="24"/>
        </w:rPr>
      </w:pPr>
      <w:r>
        <w:rPr>
          <w:rFonts w:hint="eastAsia" w:ascii="宋体" w:hAnsi="宋体"/>
          <w:sz w:val="24"/>
        </w:rPr>
        <w:t>9、技术分证明资料</w:t>
      </w:r>
    </w:p>
    <w:p>
      <w:pPr>
        <w:tabs>
          <w:tab w:val="left" w:pos="900"/>
        </w:tabs>
        <w:spacing w:line="520" w:lineRule="exact"/>
        <w:ind w:left="540"/>
        <w:jc w:val="left"/>
        <w:rPr>
          <w:rFonts w:ascii="宋体" w:hAnsi="宋体" w:cs="宋体"/>
          <w:sz w:val="24"/>
        </w:rPr>
      </w:pPr>
      <w:r>
        <w:rPr>
          <w:rFonts w:hint="eastAsia" w:ascii="宋体" w:hAnsi="宋体" w:cs="宋体"/>
          <w:sz w:val="24"/>
        </w:rPr>
        <w:t>10、商务分证明资料</w:t>
      </w:r>
    </w:p>
    <w:p>
      <w:pPr>
        <w:tabs>
          <w:tab w:val="left" w:pos="900"/>
        </w:tabs>
        <w:spacing w:line="520" w:lineRule="exact"/>
        <w:ind w:left="540"/>
        <w:jc w:val="left"/>
        <w:rPr>
          <w:rFonts w:ascii="宋体" w:hAnsi="宋体" w:cs="宋体"/>
          <w:sz w:val="24"/>
        </w:rPr>
      </w:pPr>
      <w:r>
        <w:rPr>
          <w:rFonts w:hint="eastAsia" w:ascii="宋体" w:hAnsi="宋体" w:cs="宋体"/>
          <w:sz w:val="24"/>
        </w:rPr>
        <w:t>11、供应商认为需提交的其它资料</w:t>
      </w:r>
    </w:p>
    <w:p>
      <w:pPr>
        <w:tabs>
          <w:tab w:val="left" w:pos="900"/>
        </w:tabs>
        <w:spacing w:line="520" w:lineRule="exact"/>
        <w:ind w:left="540"/>
        <w:jc w:val="left"/>
        <w:rPr>
          <w:rFonts w:ascii="宋体" w:hAnsi="宋体" w:cs="宋体"/>
          <w:sz w:val="28"/>
          <w:szCs w:val="28"/>
        </w:rPr>
      </w:pPr>
    </w:p>
    <w:p>
      <w:pPr>
        <w:spacing w:line="520" w:lineRule="exact"/>
        <w:ind w:firstLine="643" w:firstLineChars="200"/>
        <w:jc w:val="center"/>
        <w:rPr>
          <w:rFonts w:ascii="宋体" w:hAnsi="宋体"/>
          <w:b/>
          <w:sz w:val="32"/>
          <w:szCs w:val="32"/>
        </w:rPr>
      </w:pPr>
      <w:r>
        <w:rPr>
          <w:rFonts w:hint="eastAsia" w:ascii="宋体" w:hAnsi="宋体"/>
          <w:b/>
          <w:sz w:val="32"/>
          <w:szCs w:val="32"/>
        </w:rPr>
        <w:t>供应商按以上目录制作响应文件(须编写页码）。</w:t>
      </w: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adjustRightInd w:val="0"/>
        <w:snapToGrid w:val="0"/>
        <w:rPr>
          <w:rFonts w:ascii="宋体" w:hAnsi="宋体"/>
          <w:szCs w:val="21"/>
        </w:rPr>
      </w:pPr>
    </w:p>
    <w:p>
      <w:pPr>
        <w:adjustRightInd w:val="0"/>
        <w:snapToGrid w:val="0"/>
        <w:rPr>
          <w:rFonts w:ascii="宋体" w:hAnsi="宋体"/>
          <w:szCs w:val="21"/>
        </w:rPr>
      </w:pPr>
    </w:p>
    <w:p>
      <w:pPr>
        <w:spacing w:line="520" w:lineRule="exact"/>
        <w:jc w:val="left"/>
        <w:rPr>
          <w:rFonts w:ascii="宋体" w:hAnsi="宋体"/>
          <w:sz w:val="24"/>
        </w:rPr>
      </w:pPr>
    </w:p>
    <w:p>
      <w:pPr>
        <w:spacing w:line="520" w:lineRule="exact"/>
        <w:jc w:val="left"/>
        <w:rPr>
          <w:rFonts w:ascii="宋体" w:hAnsi="宋体"/>
          <w:sz w:val="24"/>
        </w:rPr>
      </w:pPr>
      <w:r>
        <w:rPr>
          <w:rFonts w:hint="eastAsia" w:ascii="宋体" w:hAnsi="宋体"/>
          <w:sz w:val="24"/>
        </w:rPr>
        <w:t>附件—1</w:t>
      </w:r>
    </w:p>
    <w:p>
      <w:pPr>
        <w:spacing w:line="400" w:lineRule="atLeast"/>
        <w:jc w:val="center"/>
        <w:rPr>
          <w:rFonts w:ascii="宋体" w:hAnsi="宋体"/>
          <w:b/>
          <w:sz w:val="36"/>
        </w:rPr>
      </w:pPr>
      <w:r>
        <w:rPr>
          <w:rFonts w:hint="eastAsia" w:ascii="宋体" w:hAnsi="宋体"/>
          <w:b/>
          <w:sz w:val="36"/>
        </w:rPr>
        <w:t>投  标  函</w:t>
      </w:r>
    </w:p>
    <w:p>
      <w:pPr>
        <w:pStyle w:val="27"/>
        <w:spacing w:line="560" w:lineRule="exact"/>
        <w:ind w:left="-2" w:firstLine="0" w:firstLineChars="0"/>
        <w:rPr>
          <w:rFonts w:ascii="黑体" w:eastAsia="黑体"/>
          <w:b/>
          <w:sz w:val="28"/>
          <w:szCs w:val="28"/>
        </w:rPr>
      </w:pPr>
      <w:r>
        <w:rPr>
          <w:rFonts w:hint="eastAsia" w:ascii="黑体" w:eastAsia="黑体"/>
          <w:sz w:val="28"/>
          <w:szCs w:val="28"/>
        </w:rPr>
        <w:t>福建工程学院    项目（招标编号：    ）</w:t>
      </w:r>
    </w:p>
    <w:p>
      <w:pPr>
        <w:spacing w:line="400" w:lineRule="atLeast"/>
        <w:rPr>
          <w:rFonts w:ascii="宋体" w:hAnsi="宋体"/>
          <w:sz w:val="24"/>
        </w:rPr>
      </w:pPr>
    </w:p>
    <w:p>
      <w:pPr>
        <w:spacing w:line="400" w:lineRule="atLeast"/>
        <w:rPr>
          <w:rFonts w:ascii="宋体" w:hAnsi="宋体"/>
          <w:sz w:val="24"/>
        </w:rPr>
      </w:pPr>
      <w:r>
        <w:rPr>
          <w:rFonts w:hint="eastAsia" w:ascii="宋体" w:hAnsi="宋体"/>
          <w:sz w:val="24"/>
        </w:rPr>
        <w:t>致：福建工程学院：</w:t>
      </w:r>
    </w:p>
    <w:p>
      <w:pPr>
        <w:pStyle w:val="27"/>
        <w:spacing w:line="560" w:lineRule="exact"/>
        <w:ind w:left="-2" w:firstLine="480"/>
        <w:rPr>
          <w:rFonts w:ascii="宋体" w:hAnsi="宋体"/>
          <w:b/>
          <w:sz w:val="24"/>
          <w:szCs w:val="24"/>
        </w:rPr>
      </w:pPr>
      <w:r>
        <w:rPr>
          <w:rFonts w:hint="eastAsia" w:ascii="宋体" w:hAnsi="宋体"/>
          <w:sz w:val="24"/>
          <w:szCs w:val="24"/>
        </w:rPr>
        <w:t>根据贵单位福建工程学院     项目</w:t>
      </w:r>
      <w:r>
        <w:rPr>
          <w:rFonts w:hint="eastAsia" w:ascii="宋体" w:hAnsi="宋体"/>
          <w:b/>
          <w:sz w:val="24"/>
          <w:szCs w:val="24"/>
          <w:u w:val="single"/>
        </w:rPr>
        <w:t>（招标编号：    ）</w:t>
      </w:r>
      <w:r>
        <w:rPr>
          <w:rFonts w:hint="eastAsia" w:ascii="宋体" w:hAnsi="宋体"/>
          <w:sz w:val="24"/>
          <w:szCs w:val="24"/>
        </w:rPr>
        <w:t>招标公告，投标代表:           （职务：                ）经正式授权并代表投标单位               （地址：                    ）提交下述文件正本一份和副本一份。</w:t>
      </w:r>
    </w:p>
    <w:p>
      <w:pPr>
        <w:spacing w:line="400" w:lineRule="atLeast"/>
        <w:rPr>
          <w:rFonts w:ascii="宋体" w:hAnsi="宋体"/>
          <w:sz w:val="24"/>
        </w:rPr>
      </w:pPr>
      <w:r>
        <w:rPr>
          <w:rFonts w:hint="eastAsia" w:ascii="宋体" w:hAnsi="宋体"/>
          <w:sz w:val="24"/>
        </w:rPr>
        <w:t xml:space="preserve">     根据此函，投标代表宣布同意如下：</w:t>
      </w:r>
    </w:p>
    <w:p>
      <w:pPr>
        <w:spacing w:line="400" w:lineRule="atLeast"/>
        <w:rPr>
          <w:rFonts w:ascii="宋体" w:hAnsi="宋体"/>
          <w:sz w:val="24"/>
        </w:rPr>
      </w:pPr>
      <w:r>
        <w:rPr>
          <w:rFonts w:hint="eastAsia" w:ascii="宋体" w:hAnsi="宋体"/>
          <w:sz w:val="24"/>
        </w:rPr>
        <w:t>1．投标单位将按本次磋商文件的规定履行合同责任和义务。</w:t>
      </w:r>
    </w:p>
    <w:p>
      <w:pPr>
        <w:spacing w:line="400" w:lineRule="atLeast"/>
        <w:rPr>
          <w:rFonts w:ascii="宋体" w:hAnsi="宋体"/>
          <w:sz w:val="24"/>
        </w:rPr>
      </w:pPr>
      <w:r>
        <w:rPr>
          <w:rFonts w:hint="eastAsia" w:ascii="宋体" w:hAnsi="宋体"/>
          <w:sz w:val="24"/>
        </w:rPr>
        <w:t>2．投标单位已详细审查全部磋商文件，包括修改文件以及全部参考资料和有关附件。我们完全理解并同意放弃对这方面有不明及误解的权利。</w:t>
      </w:r>
    </w:p>
    <w:p>
      <w:pPr>
        <w:spacing w:line="400" w:lineRule="atLeast"/>
        <w:rPr>
          <w:rFonts w:ascii="宋体" w:hAnsi="宋体"/>
          <w:sz w:val="24"/>
        </w:rPr>
      </w:pPr>
      <w:r>
        <w:rPr>
          <w:rFonts w:hint="eastAsia" w:ascii="宋体" w:hAnsi="宋体"/>
          <w:sz w:val="24"/>
        </w:rPr>
        <w:t>3．本响应文件自开标日起有效期为60天。</w:t>
      </w:r>
    </w:p>
    <w:p>
      <w:pPr>
        <w:spacing w:line="400" w:lineRule="atLeast"/>
        <w:rPr>
          <w:rFonts w:ascii="宋体" w:hAnsi="宋体"/>
          <w:sz w:val="24"/>
        </w:rPr>
      </w:pPr>
      <w:r>
        <w:rPr>
          <w:rFonts w:hint="eastAsia" w:ascii="宋体" w:hAnsi="宋体"/>
          <w:sz w:val="24"/>
        </w:rPr>
        <w:t>4．中标后若不履行响应文件的内容要求和各项承诺及义务的则视为违约，其中选资格将被取消。</w:t>
      </w:r>
    </w:p>
    <w:p>
      <w:pPr>
        <w:spacing w:line="400" w:lineRule="atLeast"/>
        <w:rPr>
          <w:rFonts w:ascii="宋体" w:hAnsi="宋体"/>
          <w:sz w:val="24"/>
        </w:rPr>
      </w:pPr>
      <w:r>
        <w:rPr>
          <w:rFonts w:hint="eastAsia" w:ascii="宋体" w:hAnsi="宋体"/>
          <w:sz w:val="24"/>
        </w:rPr>
        <w:t>5．投标单位同意提供按照贵单位可能要求的与其报价有关的一切数据或资料，完全理解贵单位不一定要接受最低价的报价。</w:t>
      </w:r>
    </w:p>
    <w:p>
      <w:pPr>
        <w:spacing w:line="400" w:lineRule="atLeast"/>
        <w:rPr>
          <w:rFonts w:ascii="宋体" w:hAnsi="宋体"/>
          <w:sz w:val="24"/>
        </w:rPr>
      </w:pPr>
      <w:r>
        <w:rPr>
          <w:rFonts w:hint="eastAsia" w:ascii="宋体" w:hAnsi="宋体"/>
          <w:sz w:val="24"/>
        </w:rPr>
        <w:t>6．与本投标有关的一切正式往来通讯请寄：</w:t>
      </w:r>
    </w:p>
    <w:p>
      <w:pPr>
        <w:spacing w:line="400" w:lineRule="atLeast"/>
        <w:rPr>
          <w:rFonts w:ascii="宋体" w:hAnsi="宋体"/>
          <w:sz w:val="24"/>
        </w:rPr>
      </w:pPr>
    </w:p>
    <w:p>
      <w:pPr>
        <w:spacing w:line="400" w:lineRule="atLeast"/>
        <w:ind w:left="570"/>
        <w:rPr>
          <w:rFonts w:ascii="宋体" w:hAnsi="宋体"/>
          <w:sz w:val="24"/>
        </w:rPr>
      </w:pPr>
      <w:r>
        <w:rPr>
          <w:rFonts w:hint="eastAsia" w:ascii="宋体" w:hAnsi="宋体"/>
          <w:sz w:val="24"/>
        </w:rPr>
        <w:t>地址：                         邮政编码：</w:t>
      </w:r>
    </w:p>
    <w:p>
      <w:pPr>
        <w:spacing w:line="400" w:lineRule="atLeast"/>
        <w:ind w:left="570"/>
        <w:rPr>
          <w:rFonts w:ascii="宋体" w:hAnsi="宋体"/>
          <w:sz w:val="24"/>
        </w:rPr>
      </w:pPr>
      <w:r>
        <w:rPr>
          <w:rFonts w:hint="eastAsia" w:ascii="宋体" w:hAnsi="宋体"/>
          <w:sz w:val="24"/>
        </w:rPr>
        <w:t>电话：                             传真：</w:t>
      </w:r>
    </w:p>
    <w:p>
      <w:pPr>
        <w:spacing w:line="400" w:lineRule="atLeast"/>
        <w:ind w:left="570"/>
        <w:rPr>
          <w:rFonts w:ascii="宋体" w:hAnsi="宋体"/>
          <w:sz w:val="24"/>
        </w:rPr>
      </w:pPr>
      <w:r>
        <w:rPr>
          <w:rFonts w:hint="eastAsia" w:ascii="宋体" w:hAnsi="宋体"/>
          <w:sz w:val="24"/>
        </w:rPr>
        <w:t>投标代表姓名：                     职务：</w:t>
      </w:r>
    </w:p>
    <w:p>
      <w:pPr>
        <w:spacing w:line="400" w:lineRule="atLeast"/>
        <w:ind w:left="570"/>
        <w:rPr>
          <w:rFonts w:ascii="宋体" w:hAnsi="宋体"/>
          <w:sz w:val="24"/>
        </w:rPr>
      </w:pPr>
      <w:r>
        <w:rPr>
          <w:rFonts w:hint="eastAsia" w:ascii="宋体" w:hAnsi="宋体"/>
          <w:sz w:val="24"/>
        </w:rPr>
        <w:t>投标单位名称（全称并加公章）：</w:t>
      </w:r>
    </w:p>
    <w:p>
      <w:pPr>
        <w:spacing w:line="400" w:lineRule="atLeast"/>
        <w:ind w:left="570"/>
        <w:rPr>
          <w:rFonts w:ascii="宋体" w:hAnsi="宋体"/>
          <w:sz w:val="24"/>
        </w:rPr>
      </w:pPr>
      <w:r>
        <w:rPr>
          <w:rFonts w:hint="eastAsia" w:ascii="宋体" w:hAnsi="宋体"/>
          <w:sz w:val="24"/>
        </w:rPr>
        <w:t>日期：   年  月  日             投标代表签字：</w:t>
      </w:r>
    </w:p>
    <w:p>
      <w:pPr>
        <w:spacing w:line="400" w:lineRule="atLeast"/>
        <w:ind w:left="570"/>
        <w:rPr>
          <w:rFonts w:ascii="宋体" w:hAnsi="宋体"/>
          <w:sz w:val="24"/>
        </w:rPr>
      </w:pPr>
    </w:p>
    <w:p>
      <w:pPr>
        <w:spacing w:line="0" w:lineRule="atLeast"/>
        <w:jc w:val="center"/>
        <w:rPr>
          <w:rFonts w:ascii="宋体" w:hAnsi="宋体"/>
          <w:sz w:val="24"/>
        </w:rPr>
      </w:pPr>
    </w:p>
    <w:p>
      <w:pPr>
        <w:spacing w:line="0" w:lineRule="atLeast"/>
        <w:jc w:val="center"/>
        <w:rPr>
          <w:rFonts w:ascii="宋体" w:hAnsi="宋体"/>
          <w:sz w:val="24"/>
        </w:rPr>
      </w:pPr>
    </w:p>
    <w:p>
      <w:pPr>
        <w:spacing w:line="0" w:lineRule="atLeast"/>
        <w:jc w:val="center"/>
        <w:rPr>
          <w:rFonts w:ascii="宋体" w:hAnsi="宋体"/>
          <w:sz w:val="24"/>
        </w:rPr>
      </w:pPr>
    </w:p>
    <w:p>
      <w:pPr>
        <w:spacing w:line="0" w:lineRule="atLeast"/>
        <w:jc w:val="center"/>
        <w:rPr>
          <w:rFonts w:ascii="宋体" w:hAnsi="宋体"/>
          <w:sz w:val="24"/>
        </w:rPr>
      </w:pPr>
    </w:p>
    <w:p>
      <w:pPr>
        <w:spacing w:line="0" w:lineRule="atLeast"/>
        <w:jc w:val="center"/>
        <w:rPr>
          <w:rFonts w:ascii="宋体" w:hAnsi="宋体"/>
          <w:sz w:val="24"/>
        </w:rPr>
      </w:pPr>
    </w:p>
    <w:p>
      <w:pPr>
        <w:spacing w:line="0" w:lineRule="atLeast"/>
        <w:jc w:val="center"/>
        <w:rPr>
          <w:rFonts w:ascii="宋体" w:hAnsi="宋体"/>
          <w:sz w:val="24"/>
        </w:rPr>
      </w:pPr>
    </w:p>
    <w:p>
      <w:pPr>
        <w:spacing w:line="0" w:lineRule="atLeast"/>
        <w:jc w:val="center"/>
        <w:rPr>
          <w:rFonts w:ascii="宋体" w:hAnsi="宋体"/>
          <w:sz w:val="24"/>
        </w:rPr>
      </w:pPr>
    </w:p>
    <w:p>
      <w:pPr>
        <w:spacing w:line="0" w:lineRule="atLeast"/>
        <w:jc w:val="center"/>
        <w:rPr>
          <w:rFonts w:ascii="宋体" w:hAnsi="宋体"/>
          <w:sz w:val="24"/>
        </w:rPr>
      </w:pPr>
    </w:p>
    <w:p>
      <w:pPr>
        <w:spacing w:line="0" w:lineRule="atLeast"/>
        <w:jc w:val="center"/>
        <w:rPr>
          <w:rFonts w:ascii="宋体" w:hAnsi="宋体"/>
          <w:sz w:val="24"/>
        </w:rPr>
      </w:pPr>
    </w:p>
    <w:p>
      <w:pPr>
        <w:spacing w:line="0" w:lineRule="atLeast"/>
        <w:jc w:val="left"/>
        <w:rPr>
          <w:rFonts w:ascii="宋体" w:hAnsi="宋体"/>
          <w:sz w:val="24"/>
        </w:rPr>
      </w:pPr>
    </w:p>
    <w:p>
      <w:pPr>
        <w:spacing w:line="0" w:lineRule="atLeast"/>
        <w:jc w:val="left"/>
        <w:rPr>
          <w:rFonts w:ascii="宋体" w:hAnsi="宋体"/>
          <w:sz w:val="24"/>
        </w:rPr>
      </w:pPr>
      <w:r>
        <w:rPr>
          <w:rFonts w:hint="eastAsia" w:ascii="宋体" w:hAnsi="宋体"/>
          <w:sz w:val="24"/>
        </w:rPr>
        <w:t>附件—2</w:t>
      </w:r>
    </w:p>
    <w:p>
      <w:pPr>
        <w:spacing w:line="0" w:lineRule="atLeast"/>
        <w:jc w:val="center"/>
        <w:rPr>
          <w:b/>
          <w:sz w:val="36"/>
          <w:szCs w:val="36"/>
        </w:rPr>
      </w:pPr>
    </w:p>
    <w:p>
      <w:pPr>
        <w:spacing w:line="0" w:lineRule="atLeast"/>
        <w:jc w:val="center"/>
        <w:rPr>
          <w:b/>
          <w:sz w:val="36"/>
          <w:szCs w:val="36"/>
        </w:rPr>
      </w:pPr>
      <w:r>
        <w:rPr>
          <w:rFonts w:hint="eastAsia"/>
          <w:b/>
          <w:sz w:val="36"/>
          <w:szCs w:val="36"/>
        </w:rPr>
        <w:t>报价一览表</w:t>
      </w:r>
    </w:p>
    <w:p>
      <w:pPr>
        <w:spacing w:line="0" w:lineRule="atLeast"/>
        <w:jc w:val="center"/>
        <w:rPr>
          <w:b/>
          <w:sz w:val="36"/>
          <w:szCs w:val="36"/>
        </w:rPr>
      </w:pPr>
    </w:p>
    <w:p>
      <w:pPr>
        <w:spacing w:line="380" w:lineRule="exact"/>
        <w:ind w:left="7920" w:hanging="7920" w:hangingChars="3300"/>
        <w:jc w:val="left"/>
        <w:rPr>
          <w:rFonts w:ascii="宋体" w:hAnsi="宋体"/>
          <w:szCs w:val="21"/>
        </w:rPr>
      </w:pPr>
      <w:r>
        <w:rPr>
          <w:rFonts w:hint="eastAsia" w:ascii="宋体" w:hAnsi="宋体" w:cs="仿宋"/>
          <w:sz w:val="24"/>
          <w:szCs w:val="24"/>
        </w:rPr>
        <w:t>福建工程学院内部控制评价与风险评估</w:t>
      </w:r>
      <w:r>
        <w:rPr>
          <w:rFonts w:hint="eastAsia" w:ascii="宋体" w:hAnsi="宋体"/>
          <w:szCs w:val="21"/>
        </w:rPr>
        <w:t>服务项目（招标编号：ZX2022087 ）    货币单位：人民币（元）</w:t>
      </w:r>
    </w:p>
    <w:p>
      <w:pPr>
        <w:spacing w:line="380" w:lineRule="exact"/>
        <w:rPr>
          <w:rFonts w:ascii="宋体" w:hAnsi="宋体"/>
          <w:szCs w:val="21"/>
        </w:rPr>
      </w:pPr>
    </w:p>
    <w:tbl>
      <w:tblPr>
        <w:tblStyle w:val="11"/>
        <w:tblW w:w="9971" w:type="dxa"/>
        <w:jc w:val="center"/>
        <w:tblLayout w:type="fixed"/>
        <w:tblCellMar>
          <w:top w:w="0" w:type="dxa"/>
          <w:left w:w="108" w:type="dxa"/>
          <w:bottom w:w="0" w:type="dxa"/>
          <w:right w:w="108" w:type="dxa"/>
        </w:tblCellMar>
      </w:tblPr>
      <w:tblGrid>
        <w:gridCol w:w="734"/>
        <w:gridCol w:w="1984"/>
        <w:gridCol w:w="709"/>
        <w:gridCol w:w="851"/>
        <w:gridCol w:w="992"/>
        <w:gridCol w:w="4678"/>
        <w:gridCol w:w="23"/>
      </w:tblGrid>
      <w:tr>
        <w:tblPrEx>
          <w:tblCellMar>
            <w:top w:w="0" w:type="dxa"/>
            <w:left w:w="108" w:type="dxa"/>
            <w:bottom w:w="0" w:type="dxa"/>
            <w:right w:w="108" w:type="dxa"/>
          </w:tblCellMar>
        </w:tblPrEx>
        <w:trPr>
          <w:gridAfter w:val="1"/>
          <w:wAfter w:w="23" w:type="dxa"/>
          <w:trHeight w:val="502"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kern w:val="0"/>
                <w:szCs w:val="21"/>
              </w:rPr>
            </w:pPr>
            <w:r>
              <w:rPr>
                <w:rFonts w:hint="eastAsia" w:ascii="黑体" w:hAnsi="宋体" w:eastAsia="黑体" w:cs="宋体"/>
                <w:b/>
                <w:kern w:val="0"/>
                <w:szCs w:val="21"/>
              </w:rPr>
              <w:t>合同包</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kern w:val="0"/>
                <w:szCs w:val="21"/>
              </w:rPr>
            </w:pPr>
            <w:r>
              <w:rPr>
                <w:rFonts w:hint="eastAsia" w:ascii="黑体" w:hAnsi="宋体" w:eastAsia="黑体" w:cs="宋体"/>
                <w:b/>
                <w:kern w:val="0"/>
                <w:szCs w:val="21"/>
              </w:rPr>
              <w:t>项目名称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kern w:val="0"/>
                <w:szCs w:val="21"/>
              </w:rPr>
            </w:pPr>
            <w:r>
              <w:rPr>
                <w:rFonts w:hint="eastAsia" w:ascii="黑体" w:hAnsi="宋体" w:eastAsia="黑体" w:cs="宋体"/>
                <w:b/>
                <w:kern w:val="0"/>
                <w:szCs w:val="21"/>
              </w:rPr>
              <w:t>技术要求</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kern w:val="0"/>
                <w:szCs w:val="21"/>
              </w:rPr>
            </w:pPr>
            <w:r>
              <w:rPr>
                <w:rFonts w:hint="eastAsia" w:ascii="黑体" w:hAnsi="宋体" w:eastAsia="黑体" w:cs="宋体"/>
                <w:b/>
                <w:kern w:val="0"/>
                <w:szCs w:val="21"/>
              </w:rPr>
              <w:t>数量</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kern w:val="0"/>
                <w:szCs w:val="21"/>
              </w:rPr>
            </w:pPr>
            <w:r>
              <w:rPr>
                <w:rFonts w:hint="eastAsia" w:ascii="黑体" w:hAnsi="宋体" w:eastAsia="黑体" w:cs="宋体"/>
                <w:b/>
                <w:kern w:val="0"/>
                <w:szCs w:val="21"/>
              </w:rPr>
              <w:t>报价（元）</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kern w:val="0"/>
                <w:szCs w:val="21"/>
              </w:rPr>
            </w:pPr>
            <w:r>
              <w:rPr>
                <w:rFonts w:hint="eastAsia" w:ascii="黑体" w:hAnsi="宋体" w:eastAsia="黑体" w:cs="宋体"/>
                <w:b/>
                <w:kern w:val="0"/>
                <w:szCs w:val="21"/>
              </w:rPr>
              <w:t>交货期</w:t>
            </w:r>
          </w:p>
        </w:tc>
      </w:tr>
      <w:tr>
        <w:tblPrEx>
          <w:tblCellMar>
            <w:top w:w="0" w:type="dxa"/>
            <w:left w:w="108" w:type="dxa"/>
            <w:bottom w:w="0" w:type="dxa"/>
            <w:right w:w="108" w:type="dxa"/>
          </w:tblCellMar>
        </w:tblPrEx>
        <w:trPr>
          <w:gridAfter w:val="1"/>
          <w:wAfter w:w="23" w:type="dxa"/>
          <w:trHeight w:val="561" w:hRule="atLeast"/>
          <w:jc w:val="center"/>
        </w:trPr>
        <w:tc>
          <w:tcPr>
            <w:tcW w:w="734" w:type="dxa"/>
            <w:vMerge w:val="restart"/>
            <w:tcBorders>
              <w:top w:val="sing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1984" w:type="dxa"/>
            <w:vMerge w:val="restart"/>
            <w:tcBorders>
              <w:top w:val="sing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cs="仿宋"/>
                <w:sz w:val="24"/>
                <w:szCs w:val="24"/>
              </w:rPr>
              <w:t>福建工程学院内部控制评价与风险评估</w:t>
            </w:r>
          </w:p>
        </w:tc>
        <w:tc>
          <w:tcPr>
            <w:tcW w:w="709" w:type="dxa"/>
            <w:vMerge w:val="restart"/>
            <w:tcBorders>
              <w:top w:val="sing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按磋商要求</w:t>
            </w:r>
          </w:p>
        </w:tc>
        <w:tc>
          <w:tcPr>
            <w:tcW w:w="851" w:type="dxa"/>
            <w:vMerge w:val="restart"/>
            <w:tcBorders>
              <w:top w:val="single" w:color="auto" w:sz="4" w:space="0"/>
              <w:left w:val="single" w:color="auto" w:sz="4" w:space="0"/>
              <w:right w:val="single" w:color="auto" w:sz="4" w:space="0"/>
            </w:tcBorders>
            <w:vAlign w:val="center"/>
          </w:tcPr>
          <w:p>
            <w:pPr>
              <w:jc w:val="center"/>
            </w:pPr>
            <w:r>
              <w:rPr>
                <w:rFonts w:hint="eastAsia"/>
              </w:rPr>
              <w:t>1项</w:t>
            </w:r>
          </w:p>
        </w:tc>
        <w:tc>
          <w:tcPr>
            <w:tcW w:w="992" w:type="dxa"/>
            <w:vMerge w:val="restart"/>
            <w:tcBorders>
              <w:top w:val="single" w:color="auto" w:sz="4" w:space="0"/>
              <w:left w:val="single" w:color="auto" w:sz="4" w:space="0"/>
              <w:right w:val="single" w:color="auto" w:sz="4" w:space="0"/>
            </w:tcBorders>
            <w:vAlign w:val="center"/>
          </w:tcPr>
          <w:p>
            <w:pPr>
              <w:widowControl/>
              <w:jc w:val="center"/>
              <w:rPr>
                <w:rFonts w:ascii="宋体" w:hAnsi="宋体"/>
                <w:sz w:val="24"/>
              </w:rPr>
            </w:pPr>
          </w:p>
        </w:tc>
        <w:tc>
          <w:tcPr>
            <w:tcW w:w="4678" w:type="dxa"/>
            <w:vMerge w:val="restart"/>
            <w:tcBorders>
              <w:top w:val="single" w:color="auto" w:sz="4" w:space="0"/>
              <w:left w:val="single" w:color="auto" w:sz="4" w:space="0"/>
              <w:right w:val="single" w:color="auto" w:sz="4" w:space="0"/>
            </w:tcBorders>
            <w:vAlign w:val="center"/>
          </w:tcPr>
          <w:p>
            <w:pPr>
              <w:jc w:val="left"/>
              <w:rPr>
                <w:rFonts w:ascii="宋体" w:hAnsi="宋体"/>
                <w:sz w:val="24"/>
              </w:rPr>
            </w:pPr>
            <w:r>
              <w:rPr>
                <w:rFonts w:hint="eastAsia" w:ascii="宋体" w:hAnsi="宋体"/>
                <w:sz w:val="24"/>
              </w:rPr>
              <w:t>根据甲方要求按时完成</w:t>
            </w:r>
          </w:p>
        </w:tc>
      </w:tr>
      <w:tr>
        <w:tblPrEx>
          <w:tblCellMar>
            <w:top w:w="0" w:type="dxa"/>
            <w:left w:w="108" w:type="dxa"/>
            <w:bottom w:w="0" w:type="dxa"/>
            <w:right w:w="108" w:type="dxa"/>
          </w:tblCellMar>
        </w:tblPrEx>
        <w:trPr>
          <w:gridAfter w:val="1"/>
          <w:wAfter w:w="23" w:type="dxa"/>
          <w:trHeight w:val="555" w:hRule="atLeast"/>
          <w:jc w:val="center"/>
        </w:trPr>
        <w:tc>
          <w:tcPr>
            <w:tcW w:w="734" w:type="dxa"/>
            <w:vMerge w:val="continue"/>
            <w:tcBorders>
              <w:left w:val="single" w:color="auto" w:sz="4" w:space="0"/>
              <w:right w:val="single" w:color="auto" w:sz="4" w:space="0"/>
            </w:tcBorders>
            <w:vAlign w:val="center"/>
          </w:tcPr>
          <w:p>
            <w:pPr>
              <w:jc w:val="center"/>
              <w:rPr>
                <w:rFonts w:ascii="宋体" w:hAnsi="宋体"/>
                <w:sz w:val="24"/>
              </w:rPr>
            </w:pPr>
          </w:p>
        </w:tc>
        <w:tc>
          <w:tcPr>
            <w:tcW w:w="1984" w:type="dxa"/>
            <w:vMerge w:val="continue"/>
            <w:tcBorders>
              <w:left w:val="single" w:color="auto" w:sz="4" w:space="0"/>
              <w:right w:val="single" w:color="auto" w:sz="4" w:space="0"/>
            </w:tcBorders>
            <w:vAlign w:val="center"/>
          </w:tcPr>
          <w:p>
            <w:pPr>
              <w:jc w:val="center"/>
              <w:rPr>
                <w:rFonts w:ascii="宋体" w:hAnsi="宋体"/>
                <w:sz w:val="24"/>
              </w:rPr>
            </w:pPr>
          </w:p>
        </w:tc>
        <w:tc>
          <w:tcPr>
            <w:tcW w:w="709" w:type="dxa"/>
            <w:vMerge w:val="continue"/>
            <w:tcBorders>
              <w:left w:val="single" w:color="auto" w:sz="4" w:space="0"/>
              <w:right w:val="single" w:color="auto" w:sz="4" w:space="0"/>
            </w:tcBorders>
            <w:vAlign w:val="center"/>
          </w:tcPr>
          <w:p>
            <w:pPr>
              <w:jc w:val="center"/>
              <w:rPr>
                <w:rFonts w:ascii="宋体" w:hAnsi="宋体"/>
                <w:sz w:val="24"/>
              </w:rPr>
            </w:pPr>
          </w:p>
        </w:tc>
        <w:tc>
          <w:tcPr>
            <w:tcW w:w="851" w:type="dxa"/>
            <w:vMerge w:val="continue"/>
            <w:tcBorders>
              <w:left w:val="single" w:color="auto" w:sz="4" w:space="0"/>
              <w:right w:val="single" w:color="auto" w:sz="4" w:space="0"/>
            </w:tcBorders>
            <w:vAlign w:val="center"/>
          </w:tcPr>
          <w:p>
            <w:pPr>
              <w:jc w:val="center"/>
            </w:pPr>
          </w:p>
        </w:tc>
        <w:tc>
          <w:tcPr>
            <w:tcW w:w="992" w:type="dxa"/>
            <w:vMerge w:val="continue"/>
            <w:tcBorders>
              <w:left w:val="single" w:color="auto" w:sz="4" w:space="0"/>
              <w:right w:val="single" w:color="auto" w:sz="4" w:space="0"/>
            </w:tcBorders>
            <w:vAlign w:val="center"/>
          </w:tcPr>
          <w:p>
            <w:pPr>
              <w:widowControl/>
              <w:jc w:val="center"/>
              <w:rPr>
                <w:rFonts w:ascii="宋体" w:hAnsi="宋体"/>
                <w:sz w:val="24"/>
              </w:rPr>
            </w:pPr>
          </w:p>
        </w:tc>
        <w:tc>
          <w:tcPr>
            <w:tcW w:w="4678" w:type="dxa"/>
            <w:vMerge w:val="continue"/>
            <w:tcBorders>
              <w:left w:val="single" w:color="auto" w:sz="4" w:space="0"/>
              <w:right w:val="single" w:color="auto" w:sz="4" w:space="0"/>
            </w:tcBorders>
            <w:vAlign w:val="center"/>
          </w:tcPr>
          <w:p>
            <w:pPr>
              <w:ind w:firstLine="352" w:firstLineChars="147"/>
              <w:jc w:val="left"/>
              <w:rPr>
                <w:rFonts w:ascii="宋体" w:hAnsi="宋体"/>
                <w:sz w:val="24"/>
              </w:rPr>
            </w:pPr>
          </w:p>
        </w:tc>
      </w:tr>
      <w:tr>
        <w:tblPrEx>
          <w:tblCellMar>
            <w:top w:w="0" w:type="dxa"/>
            <w:left w:w="108" w:type="dxa"/>
            <w:bottom w:w="0" w:type="dxa"/>
            <w:right w:w="108" w:type="dxa"/>
          </w:tblCellMar>
        </w:tblPrEx>
        <w:trPr>
          <w:gridAfter w:val="1"/>
          <w:wAfter w:w="23" w:type="dxa"/>
          <w:trHeight w:val="563" w:hRule="atLeast"/>
          <w:jc w:val="center"/>
        </w:trPr>
        <w:tc>
          <w:tcPr>
            <w:tcW w:w="734" w:type="dxa"/>
            <w:vMerge w:val="continue"/>
            <w:tcBorders>
              <w:left w:val="single" w:color="auto" w:sz="4" w:space="0"/>
              <w:right w:val="single" w:color="auto" w:sz="4" w:space="0"/>
            </w:tcBorders>
            <w:vAlign w:val="center"/>
          </w:tcPr>
          <w:p>
            <w:pPr>
              <w:jc w:val="center"/>
              <w:rPr>
                <w:rFonts w:ascii="宋体" w:hAnsi="宋体"/>
                <w:sz w:val="24"/>
              </w:rPr>
            </w:pPr>
          </w:p>
        </w:tc>
        <w:tc>
          <w:tcPr>
            <w:tcW w:w="1984" w:type="dxa"/>
            <w:vMerge w:val="continue"/>
            <w:tcBorders>
              <w:left w:val="single" w:color="auto" w:sz="4" w:space="0"/>
              <w:right w:val="single" w:color="auto" w:sz="4" w:space="0"/>
            </w:tcBorders>
            <w:vAlign w:val="center"/>
          </w:tcPr>
          <w:p>
            <w:pPr>
              <w:jc w:val="center"/>
              <w:rPr>
                <w:rFonts w:ascii="宋体" w:hAnsi="宋体"/>
                <w:sz w:val="24"/>
              </w:rPr>
            </w:pPr>
          </w:p>
        </w:tc>
        <w:tc>
          <w:tcPr>
            <w:tcW w:w="709" w:type="dxa"/>
            <w:vMerge w:val="continue"/>
            <w:tcBorders>
              <w:left w:val="single" w:color="auto" w:sz="4" w:space="0"/>
              <w:right w:val="single" w:color="auto" w:sz="4" w:space="0"/>
            </w:tcBorders>
            <w:vAlign w:val="center"/>
          </w:tcPr>
          <w:p>
            <w:pPr>
              <w:jc w:val="center"/>
              <w:rPr>
                <w:rFonts w:ascii="宋体" w:hAnsi="宋体"/>
                <w:sz w:val="24"/>
              </w:rPr>
            </w:pPr>
          </w:p>
        </w:tc>
        <w:tc>
          <w:tcPr>
            <w:tcW w:w="851" w:type="dxa"/>
            <w:vMerge w:val="continue"/>
            <w:tcBorders>
              <w:left w:val="single" w:color="auto" w:sz="4" w:space="0"/>
              <w:right w:val="single" w:color="auto" w:sz="4" w:space="0"/>
            </w:tcBorders>
            <w:vAlign w:val="center"/>
          </w:tcPr>
          <w:p>
            <w:pPr>
              <w:jc w:val="center"/>
            </w:pPr>
          </w:p>
        </w:tc>
        <w:tc>
          <w:tcPr>
            <w:tcW w:w="992" w:type="dxa"/>
            <w:vMerge w:val="continue"/>
            <w:tcBorders>
              <w:left w:val="single" w:color="auto" w:sz="4" w:space="0"/>
              <w:right w:val="single" w:color="auto" w:sz="4" w:space="0"/>
            </w:tcBorders>
            <w:vAlign w:val="center"/>
          </w:tcPr>
          <w:p>
            <w:pPr>
              <w:widowControl/>
              <w:jc w:val="center"/>
              <w:rPr>
                <w:rFonts w:ascii="宋体" w:hAnsi="宋体"/>
                <w:sz w:val="24"/>
              </w:rPr>
            </w:pPr>
          </w:p>
        </w:tc>
        <w:tc>
          <w:tcPr>
            <w:tcW w:w="4678" w:type="dxa"/>
            <w:vMerge w:val="continue"/>
            <w:tcBorders>
              <w:left w:val="single" w:color="auto" w:sz="4" w:space="0"/>
              <w:right w:val="single" w:color="auto" w:sz="4" w:space="0"/>
            </w:tcBorders>
            <w:vAlign w:val="center"/>
          </w:tcPr>
          <w:p>
            <w:pPr>
              <w:ind w:firstLine="352" w:firstLineChars="147"/>
              <w:jc w:val="left"/>
              <w:rPr>
                <w:rFonts w:ascii="宋体" w:hAnsi="宋体"/>
                <w:sz w:val="24"/>
              </w:rPr>
            </w:pPr>
          </w:p>
        </w:tc>
      </w:tr>
      <w:tr>
        <w:tblPrEx>
          <w:tblCellMar>
            <w:top w:w="0" w:type="dxa"/>
            <w:left w:w="108" w:type="dxa"/>
            <w:bottom w:w="0" w:type="dxa"/>
            <w:right w:w="108" w:type="dxa"/>
          </w:tblCellMar>
        </w:tblPrEx>
        <w:trPr>
          <w:gridAfter w:val="1"/>
          <w:wAfter w:w="23" w:type="dxa"/>
          <w:trHeight w:val="563" w:hRule="atLeast"/>
          <w:jc w:val="center"/>
        </w:trPr>
        <w:tc>
          <w:tcPr>
            <w:tcW w:w="734" w:type="dxa"/>
            <w:vMerge w:val="continue"/>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1984" w:type="dxa"/>
            <w:vMerge w:val="continue"/>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709" w:type="dxa"/>
            <w:vMerge w:val="continue"/>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851" w:type="dxa"/>
            <w:vMerge w:val="continue"/>
            <w:tcBorders>
              <w:left w:val="single" w:color="auto" w:sz="4" w:space="0"/>
              <w:bottom w:val="single" w:color="auto" w:sz="4" w:space="0"/>
              <w:right w:val="single" w:color="auto" w:sz="4" w:space="0"/>
            </w:tcBorders>
            <w:vAlign w:val="center"/>
          </w:tcPr>
          <w:p>
            <w:pPr>
              <w:jc w:val="center"/>
            </w:pPr>
          </w:p>
        </w:tc>
        <w:tc>
          <w:tcPr>
            <w:tcW w:w="99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sz w:val="24"/>
              </w:rPr>
            </w:pPr>
          </w:p>
        </w:tc>
        <w:tc>
          <w:tcPr>
            <w:tcW w:w="4678" w:type="dxa"/>
            <w:vMerge w:val="continue"/>
            <w:tcBorders>
              <w:left w:val="single" w:color="auto" w:sz="4" w:space="0"/>
              <w:bottom w:val="single" w:color="auto" w:sz="4" w:space="0"/>
              <w:right w:val="single" w:color="auto" w:sz="4" w:space="0"/>
            </w:tcBorders>
            <w:vAlign w:val="center"/>
          </w:tcPr>
          <w:p>
            <w:pPr>
              <w:ind w:firstLine="352" w:firstLineChars="147"/>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9971" w:type="dxa"/>
            <w:gridSpan w:val="7"/>
          </w:tcPr>
          <w:p>
            <w:pPr>
              <w:spacing w:line="440" w:lineRule="exact"/>
              <w:rPr>
                <w:rFonts w:ascii="宋体" w:hAnsi="宋体"/>
                <w:szCs w:val="21"/>
              </w:rPr>
            </w:pPr>
          </w:p>
          <w:p>
            <w:pPr>
              <w:spacing w:line="440" w:lineRule="exact"/>
              <w:rPr>
                <w:rFonts w:ascii="宋体" w:hAnsi="宋体"/>
                <w:b/>
                <w:sz w:val="24"/>
              </w:rPr>
            </w:pPr>
            <w:r>
              <w:rPr>
                <w:rFonts w:hint="eastAsia" w:ascii="宋体" w:hAnsi="宋体"/>
                <w:b/>
                <w:sz w:val="24"/>
              </w:rPr>
              <w:t>合同包报价（大写）</w:t>
            </w:r>
            <w:r>
              <w:rPr>
                <w:rFonts w:hint="eastAsia" w:ascii="宋体" w:hAnsi="宋体"/>
                <w:b/>
                <w:sz w:val="24"/>
                <w:u w:val="single"/>
              </w:rPr>
              <w:t xml:space="preserve">                    元整</w:t>
            </w:r>
            <w:r>
              <w:rPr>
                <w:rFonts w:hint="eastAsia" w:ascii="宋体" w:hAnsi="宋体"/>
                <w:b/>
                <w:sz w:val="24"/>
              </w:rPr>
              <w:t>（</w:t>
            </w:r>
            <w:r>
              <w:rPr>
                <w:rFonts w:ascii="宋体" w:hAnsi="宋体"/>
                <w:b/>
                <w:sz w:val="24"/>
              </w:rPr>
              <w:t>¥</w:t>
            </w:r>
            <w:r>
              <w:rPr>
                <w:rFonts w:hint="eastAsia" w:ascii="宋体" w:hAnsi="宋体"/>
                <w:b/>
                <w:sz w:val="24"/>
              </w:rPr>
              <w:t>：元）</w:t>
            </w:r>
          </w:p>
          <w:p>
            <w:pPr>
              <w:spacing w:line="440" w:lineRule="exact"/>
              <w:rPr>
                <w:rFonts w:ascii="宋体" w:hAnsi="宋体"/>
                <w:b/>
                <w:sz w:val="24"/>
              </w:rPr>
            </w:pPr>
          </w:p>
          <w:p>
            <w:pPr>
              <w:spacing w:line="440" w:lineRule="exact"/>
              <w:rPr>
                <w:rFonts w:ascii="宋体" w:hAnsi="宋体"/>
                <w:b/>
                <w:sz w:val="24"/>
              </w:rPr>
            </w:pPr>
          </w:p>
        </w:tc>
      </w:tr>
    </w:tbl>
    <w:p>
      <w:pPr>
        <w:tabs>
          <w:tab w:val="left" w:pos="13000"/>
        </w:tabs>
        <w:spacing w:line="380" w:lineRule="exact"/>
        <w:rPr>
          <w:rFonts w:ascii="宋体" w:hAnsi="宋体"/>
          <w:szCs w:val="21"/>
        </w:rPr>
      </w:pPr>
    </w:p>
    <w:p>
      <w:pPr>
        <w:tabs>
          <w:tab w:val="left" w:pos="13000"/>
        </w:tabs>
        <w:spacing w:line="380" w:lineRule="exact"/>
        <w:rPr>
          <w:rFonts w:ascii="宋体" w:hAnsi="宋体"/>
          <w:szCs w:val="21"/>
        </w:rPr>
      </w:pPr>
    </w:p>
    <w:p>
      <w:pPr>
        <w:spacing w:line="400" w:lineRule="exact"/>
        <w:ind w:firstLine="600"/>
        <w:rPr>
          <w:rFonts w:ascii="宋体" w:hAnsi="宋体"/>
          <w:b/>
          <w:szCs w:val="21"/>
        </w:rPr>
      </w:pPr>
      <w:r>
        <w:rPr>
          <w:rFonts w:hint="eastAsia" w:ascii="宋体" w:hAnsi="宋体" w:cs="Tahoma"/>
          <w:szCs w:val="21"/>
        </w:rPr>
        <w:t>报价供应商代表签名</w:t>
      </w:r>
      <w:r>
        <w:rPr>
          <w:rFonts w:hint="eastAsia" w:ascii="宋体" w:hAnsi="宋体"/>
          <w:szCs w:val="21"/>
          <w:u w:val="single"/>
        </w:rPr>
        <w:t xml:space="preserve">：                  </w:t>
      </w:r>
    </w:p>
    <w:p>
      <w:pPr>
        <w:spacing w:line="0" w:lineRule="atLeast"/>
        <w:ind w:firstLine="600"/>
        <w:rPr>
          <w:rFonts w:ascii="宋体" w:hAnsi="宋体"/>
          <w:b/>
          <w:szCs w:val="21"/>
        </w:rPr>
      </w:pPr>
    </w:p>
    <w:p>
      <w:pPr>
        <w:spacing w:line="0" w:lineRule="atLeast"/>
        <w:ind w:firstLine="600"/>
        <w:rPr>
          <w:rFonts w:ascii="宋体" w:hAnsi="宋体"/>
          <w:b/>
          <w:szCs w:val="21"/>
        </w:rPr>
      </w:pPr>
      <w:r>
        <w:rPr>
          <w:rFonts w:hint="eastAsia" w:ascii="宋体" w:hAnsi="宋体"/>
          <w:szCs w:val="21"/>
        </w:rPr>
        <w:t>报价供应商（全称并加盖公章）：</w:t>
      </w:r>
    </w:p>
    <w:p>
      <w:pPr>
        <w:spacing w:line="0" w:lineRule="atLeast"/>
        <w:ind w:firstLine="600"/>
        <w:rPr>
          <w:rFonts w:ascii="宋体" w:hAnsi="宋体"/>
          <w:b/>
          <w:szCs w:val="21"/>
        </w:rPr>
      </w:pPr>
    </w:p>
    <w:p>
      <w:pPr>
        <w:tabs>
          <w:tab w:val="left" w:pos="900"/>
        </w:tabs>
        <w:spacing w:line="520" w:lineRule="exact"/>
        <w:ind w:left="540"/>
        <w:jc w:val="left"/>
        <w:rPr>
          <w:rFonts w:ascii="宋体" w:hAnsi="宋体" w:cs="宋体"/>
          <w:sz w:val="24"/>
        </w:rPr>
      </w:pPr>
    </w:p>
    <w:p>
      <w:pPr>
        <w:tabs>
          <w:tab w:val="left" w:pos="900"/>
        </w:tabs>
        <w:spacing w:line="520" w:lineRule="exact"/>
        <w:ind w:left="540"/>
        <w:jc w:val="left"/>
        <w:rPr>
          <w:rFonts w:ascii="宋体" w:hAnsi="宋体" w:cs="宋体"/>
          <w:sz w:val="24"/>
        </w:rPr>
      </w:pPr>
    </w:p>
    <w:p>
      <w:pPr>
        <w:tabs>
          <w:tab w:val="left" w:pos="900"/>
        </w:tabs>
        <w:spacing w:line="520" w:lineRule="exact"/>
        <w:ind w:left="540"/>
        <w:jc w:val="left"/>
        <w:rPr>
          <w:rFonts w:ascii="宋体" w:hAnsi="宋体" w:cs="宋体"/>
          <w:sz w:val="24"/>
        </w:rPr>
      </w:pPr>
    </w:p>
    <w:p>
      <w:pPr>
        <w:tabs>
          <w:tab w:val="left" w:pos="900"/>
        </w:tabs>
        <w:spacing w:line="520" w:lineRule="exact"/>
        <w:ind w:left="540"/>
        <w:jc w:val="left"/>
        <w:rPr>
          <w:rFonts w:ascii="宋体" w:hAnsi="宋体" w:cs="宋体"/>
          <w:sz w:val="24"/>
        </w:rPr>
      </w:pPr>
    </w:p>
    <w:p>
      <w:pPr>
        <w:tabs>
          <w:tab w:val="left" w:pos="900"/>
        </w:tabs>
        <w:spacing w:line="520" w:lineRule="exact"/>
        <w:ind w:left="540"/>
        <w:jc w:val="left"/>
        <w:rPr>
          <w:rFonts w:ascii="宋体" w:hAnsi="宋体" w:cs="宋体"/>
          <w:sz w:val="24"/>
        </w:rPr>
      </w:pPr>
    </w:p>
    <w:p>
      <w:pPr>
        <w:tabs>
          <w:tab w:val="left" w:pos="900"/>
        </w:tabs>
        <w:spacing w:line="520" w:lineRule="exact"/>
        <w:ind w:left="540"/>
        <w:jc w:val="left"/>
        <w:rPr>
          <w:rFonts w:ascii="宋体" w:hAnsi="宋体" w:cs="宋体"/>
          <w:sz w:val="24"/>
        </w:rPr>
      </w:pPr>
    </w:p>
    <w:p>
      <w:pPr>
        <w:tabs>
          <w:tab w:val="left" w:pos="900"/>
        </w:tabs>
        <w:spacing w:line="520" w:lineRule="exact"/>
        <w:ind w:left="540"/>
        <w:jc w:val="left"/>
        <w:rPr>
          <w:rFonts w:ascii="宋体" w:hAnsi="宋体" w:cs="宋体"/>
          <w:sz w:val="24"/>
        </w:rPr>
      </w:pPr>
    </w:p>
    <w:p>
      <w:pPr>
        <w:tabs>
          <w:tab w:val="left" w:pos="900"/>
        </w:tabs>
        <w:spacing w:line="520" w:lineRule="exact"/>
        <w:jc w:val="left"/>
        <w:rPr>
          <w:rFonts w:ascii="宋体" w:hAnsi="宋体" w:cs="宋体"/>
          <w:sz w:val="24"/>
        </w:rPr>
      </w:pPr>
    </w:p>
    <w:p>
      <w:pPr>
        <w:tabs>
          <w:tab w:val="left" w:pos="900"/>
        </w:tabs>
        <w:spacing w:line="520" w:lineRule="exact"/>
        <w:jc w:val="left"/>
        <w:rPr>
          <w:rFonts w:ascii="宋体" w:hAnsi="宋体" w:cs="宋体"/>
          <w:sz w:val="24"/>
        </w:rPr>
      </w:pPr>
      <w:r>
        <w:rPr>
          <w:rFonts w:hint="eastAsia" w:ascii="宋体" w:hAnsi="宋体" w:cs="宋体"/>
          <w:sz w:val="24"/>
        </w:rPr>
        <w:t>附件3</w:t>
      </w:r>
    </w:p>
    <w:p>
      <w:pPr>
        <w:spacing w:line="560" w:lineRule="exact"/>
        <w:jc w:val="center"/>
        <w:rPr>
          <w:rFonts w:ascii="宋体" w:hAnsi="宋体"/>
          <w:b/>
          <w:sz w:val="24"/>
          <w:szCs w:val="24"/>
        </w:rPr>
      </w:pPr>
      <w:r>
        <w:rPr>
          <w:rFonts w:hint="eastAsia" w:ascii="宋体" w:hAnsi="宋体"/>
          <w:b/>
          <w:sz w:val="24"/>
          <w:szCs w:val="24"/>
        </w:rPr>
        <w:t>法定代表人授权书</w:t>
      </w:r>
    </w:p>
    <w:p>
      <w:pPr>
        <w:spacing w:line="560" w:lineRule="exact"/>
        <w:jc w:val="center"/>
        <w:rPr>
          <w:rFonts w:ascii="宋体" w:hAnsi="宋体"/>
          <w:sz w:val="24"/>
          <w:szCs w:val="24"/>
        </w:rPr>
      </w:pPr>
    </w:p>
    <w:p>
      <w:pPr>
        <w:spacing w:line="560" w:lineRule="exact"/>
        <w:rPr>
          <w:rFonts w:ascii="宋体" w:hAnsi="宋体"/>
          <w:sz w:val="24"/>
          <w:szCs w:val="24"/>
        </w:rPr>
      </w:pPr>
      <w:r>
        <w:rPr>
          <w:rFonts w:hint="eastAsia" w:ascii="宋体" w:hAnsi="宋体"/>
          <w:sz w:val="24"/>
          <w:szCs w:val="24"/>
        </w:rPr>
        <w:t>：</w:t>
      </w:r>
    </w:p>
    <w:p>
      <w:pPr>
        <w:snapToGrid w:val="0"/>
        <w:spacing w:line="560" w:lineRule="exact"/>
        <w:ind w:firstLine="480" w:firstLineChars="200"/>
        <w:jc w:val="left"/>
        <w:rPr>
          <w:rFonts w:ascii="宋体" w:hAnsi="宋体" w:cs="Courier New"/>
          <w:snapToGrid w:val="0"/>
          <w:kern w:val="0"/>
          <w:sz w:val="24"/>
          <w:szCs w:val="24"/>
        </w:rPr>
      </w:pPr>
      <w:r>
        <w:rPr>
          <w:rFonts w:hint="eastAsia" w:ascii="宋体" w:hAnsi="宋体" w:cs="Courier New"/>
          <w:snapToGrid w:val="0"/>
          <w:kern w:val="0"/>
          <w:sz w:val="24"/>
          <w:szCs w:val="24"/>
          <w:u w:val="single"/>
        </w:rPr>
        <w:t>（报价人全称）</w:t>
      </w:r>
      <w:r>
        <w:rPr>
          <w:rFonts w:hint="eastAsia" w:ascii="宋体" w:hAnsi="宋体" w:cs="Courier New"/>
          <w:snapToGrid w:val="0"/>
          <w:kern w:val="0"/>
          <w:sz w:val="24"/>
          <w:szCs w:val="24"/>
        </w:rPr>
        <w:t>法定代表人 授权</w:t>
      </w:r>
      <w:r>
        <w:rPr>
          <w:rFonts w:hint="eastAsia" w:ascii="宋体" w:hAnsi="宋体" w:cs="Courier New"/>
          <w:snapToGrid w:val="0"/>
          <w:kern w:val="0"/>
          <w:sz w:val="24"/>
          <w:szCs w:val="24"/>
          <w:u w:val="single"/>
        </w:rPr>
        <w:t xml:space="preserve">  （报价人代表姓名）</w:t>
      </w:r>
      <w:r>
        <w:rPr>
          <w:rFonts w:hint="eastAsia" w:ascii="宋体" w:hAnsi="宋体" w:cs="Courier New"/>
          <w:snapToGrid w:val="0"/>
          <w:kern w:val="0"/>
          <w:sz w:val="24"/>
          <w:szCs w:val="24"/>
        </w:rPr>
        <w:t>为报价人代表，代表本公司参加贵司组织的项目（招标编号）招标活动，全权代表本公司处理投标过程的一切事宜，包括但不限于：投标、参与开标、询价、签约等。报价人代表在投标过程中所签署的一切文件和处理与之有关的一切事务，本公司均予以认可并对此承担责任。报价人代表无转委权。特此授权。</w:t>
      </w:r>
    </w:p>
    <w:p>
      <w:pPr>
        <w:snapToGrid w:val="0"/>
        <w:spacing w:line="560" w:lineRule="exact"/>
        <w:ind w:firstLine="480" w:firstLineChars="200"/>
        <w:jc w:val="left"/>
        <w:rPr>
          <w:rFonts w:ascii="宋体" w:hAnsi="宋体" w:cs="Courier New"/>
          <w:snapToGrid w:val="0"/>
          <w:kern w:val="0"/>
          <w:sz w:val="24"/>
          <w:szCs w:val="24"/>
        </w:rPr>
      </w:pPr>
      <w:r>
        <w:rPr>
          <w:rFonts w:hint="eastAsia" w:ascii="宋体" w:hAnsi="宋体" w:cs="Courier New"/>
          <w:snapToGrid w:val="0"/>
          <w:kern w:val="0"/>
          <w:sz w:val="24"/>
          <w:szCs w:val="24"/>
        </w:rPr>
        <w:t>本授权书自出具之日起生效。</w:t>
      </w:r>
    </w:p>
    <w:p>
      <w:pPr>
        <w:spacing w:line="560" w:lineRule="exact"/>
        <w:ind w:firstLine="480" w:firstLineChars="200"/>
        <w:rPr>
          <w:rFonts w:ascii="宋体" w:hAnsi="宋体"/>
          <w:sz w:val="24"/>
          <w:szCs w:val="24"/>
        </w:rPr>
      </w:pPr>
      <w:r>
        <w:rPr>
          <w:rFonts w:hint="eastAsia" w:ascii="宋体" w:hAnsi="宋体"/>
          <w:sz w:val="24"/>
          <w:szCs w:val="24"/>
        </w:rPr>
        <w:t>报价人代表：  性别：身份证号：</w:t>
      </w:r>
    </w:p>
    <w:p>
      <w:pPr>
        <w:spacing w:line="560" w:lineRule="exact"/>
        <w:ind w:firstLine="480" w:firstLineChars="200"/>
        <w:rPr>
          <w:rFonts w:ascii="宋体" w:hAnsi="宋体"/>
          <w:sz w:val="24"/>
          <w:szCs w:val="24"/>
        </w:rPr>
      </w:pPr>
      <w:r>
        <w:rPr>
          <w:rFonts w:hint="eastAsia" w:ascii="宋体" w:hAnsi="宋体"/>
          <w:sz w:val="24"/>
          <w:szCs w:val="24"/>
        </w:rPr>
        <w:t>单位：  部门：    职务：</w:t>
      </w:r>
    </w:p>
    <w:p>
      <w:pPr>
        <w:spacing w:line="560" w:lineRule="exact"/>
        <w:ind w:firstLine="480" w:firstLineChars="200"/>
        <w:rPr>
          <w:rFonts w:ascii="宋体" w:hAnsi="宋体"/>
          <w:sz w:val="24"/>
          <w:szCs w:val="24"/>
        </w:rPr>
      </w:pPr>
      <w:r>
        <w:rPr>
          <w:rFonts w:hint="eastAsia" w:ascii="宋体" w:hAnsi="宋体"/>
          <w:sz w:val="24"/>
          <w:szCs w:val="24"/>
        </w:rPr>
        <w:t>详细通讯地址：邮政编码: 电话：</w:t>
      </w:r>
    </w:p>
    <w:p>
      <w:pPr>
        <w:spacing w:line="560" w:lineRule="exact"/>
        <w:ind w:firstLine="480" w:firstLineChars="200"/>
        <w:rPr>
          <w:rFonts w:ascii="宋体" w:hAnsi="宋体"/>
          <w:sz w:val="24"/>
          <w:szCs w:val="24"/>
        </w:rPr>
      </w:pPr>
      <w:r>
        <w:rPr>
          <w:rFonts w:hint="eastAsia" w:ascii="宋体" w:hAnsi="宋体"/>
          <w:sz w:val="24"/>
          <w:szCs w:val="24"/>
        </w:rPr>
        <w:t>附：法定代表人、被授权人身份证件</w:t>
      </w:r>
    </w:p>
    <w:p>
      <w:pPr>
        <w:spacing w:line="360" w:lineRule="auto"/>
        <w:rPr>
          <w:rFonts w:ascii="宋体" w:hAnsi="宋体"/>
          <w:sz w:val="24"/>
          <w:szCs w:val="24"/>
        </w:rPr>
      </w:pPr>
      <w:r>
        <w:rPr>
          <w:rFonts w:ascii="宋体" w:hAnsi="宋体"/>
          <w:sz w:val="24"/>
          <w:szCs w:val="24"/>
        </w:rPr>
        <w:pict>
          <v:rect id="Rectangle 8" o:spid="_x0000_s1026" o:spt="1" style="position:absolute;left:0pt;margin-left:0pt;margin-top:7.75pt;height:71.15pt;width:189pt;z-index:251660288;mso-width-relative:page;mso-height-relative:page;" fillcolor="#BBD5F0"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">
            <v:path/>
            <v:fill type="gradient" on="t" color2="#9CBEE0" focus="100%" focussize="0,0">
              <o:fill type="gradientUnscaled" v:ext="backwardCompatible"/>
            </v:fill>
            <v:stroke weight="1.25pt" color="#739CC3"/>
            <v:imagedata o:title=""/>
            <o:lock v:ext="edit"/>
            <v:textbox>
              <w:txbxContent>
                <w:p>
                  <w:pPr>
                    <w:rPr>
                      <w:sz w:val="24"/>
                    </w:rPr>
                  </w:pPr>
                  <w:r>
                    <w:rPr>
                      <w:rFonts w:hint="eastAsia"/>
                      <w:sz w:val="24"/>
                    </w:rPr>
                    <w:t>法定代表人身份证复印件（正反两面、加盖公章、注明“与原件一致“）”</w:t>
                  </w:r>
                </w:p>
              </w:txbxContent>
            </v:textbox>
          </v:rect>
        </w:pict>
      </w:r>
      <w:r>
        <w:rPr>
          <w:rFonts w:ascii="宋体" w:hAnsi="宋体"/>
          <w:sz w:val="24"/>
          <w:szCs w:val="24"/>
        </w:rPr>
        <w:pict>
          <v:rect id="Rectangle 9" o:spid="_x0000_s1027" o:spt="1" style="position:absolute;left:0pt;margin-left:216pt;margin-top:8.7pt;height:71.15pt;width:189pt;z-index:251661312;mso-width-relative:page;mso-height-relative:page;" fillcolor="#BBD5F0"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">
            <v:path/>
            <v:fill type="gradient" on="t" color2="#9CBEE0" focus="100%" focussize="0,0">
              <o:fill type="gradientUnscaled" v:ext="backwardCompatible"/>
            </v:fill>
            <v:stroke weight="1.25pt" color="#739CC3"/>
            <v:imagedata o:title=""/>
            <o:lock v:ext="edit"/>
            <v:textbox>
              <w:txbxContent>
                <w:p>
                  <w:pPr>
                    <w:rPr>
                      <w:sz w:val="24"/>
                    </w:rPr>
                  </w:pPr>
                  <w:r>
                    <w:rPr>
                      <w:rFonts w:hint="eastAsia" w:ascii="宋体" w:hAnsi="宋体"/>
                      <w:sz w:val="24"/>
                    </w:rPr>
                    <w:t>被授权人</w:t>
                  </w:r>
                  <w:r>
                    <w:rPr>
                      <w:rFonts w:hint="eastAsia"/>
                      <w:sz w:val="24"/>
                    </w:rPr>
                    <w:t>身份证复印件（正反两面、加盖公章、注明“与原件一致“）”</w:t>
                  </w:r>
                </w:p>
              </w:txbxContent>
            </v:textbox>
          </v:rect>
        </w:pict>
      </w:r>
      <w:r>
        <w:rPr>
          <w:rFonts w:ascii="宋体" w:hAnsi="宋体"/>
          <w:sz w:val="24"/>
          <w:szCs w:val="24"/>
        </w:rPr>
        <w:pict>
          <v:group id="Group 6" o:spid="_x0000_s1028" o:spt="203" style="height:54.6pt;width: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">
            <o:lock v:ext="edit" aspectratio="t"/>
            <v:rect id="Picture 7" o:spid="_x0000_s1029" o:spt="1" style="position:absolute;left:0;top:0;height:921;width:300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v:path/>
              <v:fill on="f" focussize="0,0"/>
              <v:stroke on="f"/>
              <v:imagedata o:title=""/>
              <o:lock v:ext="edit" aspectratio="t"/>
            </v:rect>
            <w10:wrap type="none"/>
            <w10:anchorlock/>
          </v:group>
        </w:pict>
      </w:r>
    </w:p>
    <w:p>
      <w:pPr>
        <w:spacing w:beforeLines="50" w:line="560" w:lineRule="exact"/>
        <w:ind w:firstLine="480" w:firstLineChars="200"/>
        <w:rPr>
          <w:rFonts w:ascii="宋体" w:hAnsi="宋体"/>
          <w:sz w:val="24"/>
          <w:szCs w:val="24"/>
        </w:rPr>
      </w:pPr>
      <w:r>
        <w:rPr>
          <w:rFonts w:hint="eastAsia" w:ascii="宋体" w:hAnsi="宋体"/>
          <w:sz w:val="24"/>
          <w:szCs w:val="24"/>
        </w:rPr>
        <w:t>授权方         报价人（全称并加盖公章）：</w:t>
      </w:r>
    </w:p>
    <w:p>
      <w:pPr>
        <w:spacing w:line="560" w:lineRule="exact"/>
        <w:rPr>
          <w:rFonts w:ascii="宋体" w:hAnsi="宋体"/>
          <w:sz w:val="24"/>
          <w:szCs w:val="24"/>
        </w:rPr>
      </w:pPr>
      <w:r>
        <w:rPr>
          <w:rFonts w:hint="eastAsia" w:ascii="宋体" w:hAnsi="宋体"/>
          <w:sz w:val="24"/>
          <w:szCs w:val="24"/>
        </w:rPr>
        <w:t xml:space="preserve">                   法定代表人签字或盖章：</w:t>
      </w:r>
    </w:p>
    <w:p>
      <w:pPr>
        <w:spacing w:line="560" w:lineRule="exact"/>
        <w:ind w:firstLine="2289" w:firstLineChars="954"/>
        <w:rPr>
          <w:rFonts w:ascii="宋体" w:hAnsi="宋体"/>
          <w:sz w:val="24"/>
          <w:szCs w:val="24"/>
        </w:rPr>
      </w:pPr>
      <w:r>
        <w:rPr>
          <w:rFonts w:hint="eastAsia" w:ascii="宋体" w:hAnsi="宋体"/>
          <w:sz w:val="24"/>
          <w:szCs w:val="24"/>
        </w:rPr>
        <w:t>日     期：</w:t>
      </w:r>
    </w:p>
    <w:p>
      <w:pPr>
        <w:spacing w:line="560" w:lineRule="exact"/>
        <w:ind w:firstLine="480" w:firstLineChars="200"/>
        <w:rPr>
          <w:rFonts w:ascii="宋体" w:hAnsi="宋体"/>
          <w:sz w:val="24"/>
          <w:szCs w:val="24"/>
        </w:rPr>
      </w:pPr>
      <w:r>
        <w:rPr>
          <w:rFonts w:hint="eastAsia" w:ascii="宋体" w:hAnsi="宋体"/>
          <w:sz w:val="24"/>
          <w:szCs w:val="24"/>
        </w:rPr>
        <w:t>接受授权方     报价人代表签字：</w:t>
      </w:r>
    </w:p>
    <w:p>
      <w:pPr>
        <w:spacing w:line="560" w:lineRule="exact"/>
        <w:ind w:firstLine="2659" w:firstLineChars="1108"/>
        <w:rPr>
          <w:rFonts w:ascii="宋体" w:hAnsi="宋体"/>
          <w:sz w:val="24"/>
          <w:szCs w:val="24"/>
          <w:u w:val="single"/>
        </w:rPr>
      </w:pPr>
      <w:r>
        <w:rPr>
          <w:rFonts w:hint="eastAsia" w:ascii="宋体" w:hAnsi="宋体"/>
          <w:sz w:val="24"/>
          <w:szCs w:val="24"/>
        </w:rPr>
        <w:t>日     期：</w:t>
      </w:r>
    </w:p>
    <w:p>
      <w:pPr>
        <w:spacing w:line="560" w:lineRule="exact"/>
        <w:ind w:firstLine="2169" w:firstLineChars="904"/>
        <w:rPr>
          <w:rFonts w:ascii="宋体" w:hAnsi="宋体"/>
          <w:sz w:val="24"/>
          <w:szCs w:val="24"/>
          <w:u w:val="single"/>
        </w:rPr>
      </w:pPr>
    </w:p>
    <w:p>
      <w:pPr>
        <w:spacing w:line="560" w:lineRule="exact"/>
        <w:ind w:firstLine="2169" w:firstLineChars="904"/>
        <w:rPr>
          <w:rFonts w:ascii="宋体" w:hAnsi="宋体"/>
          <w:sz w:val="24"/>
          <w:szCs w:val="24"/>
          <w:u w:val="single"/>
        </w:rPr>
      </w:pPr>
    </w:p>
    <w:p>
      <w:pPr>
        <w:tabs>
          <w:tab w:val="left" w:pos="900"/>
        </w:tabs>
        <w:spacing w:line="360" w:lineRule="auto"/>
        <w:jc w:val="left"/>
        <w:rPr>
          <w:rFonts w:ascii="宋体" w:hAnsi="宋体"/>
          <w:sz w:val="24"/>
          <w:szCs w:val="24"/>
        </w:rPr>
      </w:pPr>
    </w:p>
    <w:p>
      <w:pPr>
        <w:tabs>
          <w:tab w:val="left" w:pos="900"/>
        </w:tabs>
        <w:spacing w:line="360" w:lineRule="auto"/>
        <w:jc w:val="left"/>
        <w:rPr>
          <w:rFonts w:ascii="宋体" w:hAnsi="宋体" w:cs="宋体"/>
          <w:sz w:val="28"/>
          <w:szCs w:val="28"/>
        </w:rPr>
      </w:pPr>
    </w:p>
    <w:p>
      <w:pPr>
        <w:tabs>
          <w:tab w:val="left" w:pos="900"/>
        </w:tabs>
        <w:spacing w:line="360" w:lineRule="auto"/>
        <w:jc w:val="left"/>
        <w:rPr>
          <w:rFonts w:ascii="宋体" w:hAnsi="宋体" w:cs="宋体"/>
          <w:sz w:val="28"/>
          <w:szCs w:val="28"/>
        </w:rPr>
      </w:pPr>
      <w:r>
        <w:rPr>
          <w:rFonts w:hint="eastAsia" w:ascii="宋体" w:hAnsi="宋体" w:cs="宋体"/>
          <w:sz w:val="28"/>
          <w:szCs w:val="28"/>
        </w:rPr>
        <w:t>附件4、企业法人执照副本复印件。</w:t>
      </w:r>
    </w:p>
    <w:p>
      <w:pPr>
        <w:tabs>
          <w:tab w:val="left" w:pos="900"/>
        </w:tabs>
        <w:spacing w:line="360" w:lineRule="auto"/>
        <w:jc w:val="left"/>
        <w:rPr>
          <w:rFonts w:ascii="宋体" w:hAnsi="宋体" w:cs="宋体"/>
          <w:sz w:val="28"/>
          <w:szCs w:val="28"/>
        </w:rPr>
      </w:pPr>
      <w:r>
        <w:rPr>
          <w:rFonts w:hint="eastAsia" w:ascii="宋体" w:hAnsi="宋体" w:cs="宋体"/>
          <w:sz w:val="28"/>
          <w:szCs w:val="28"/>
        </w:rPr>
        <w:t>附件5、税务登记证明复印件。</w:t>
      </w:r>
    </w:p>
    <w:p>
      <w:pPr>
        <w:tabs>
          <w:tab w:val="left" w:pos="900"/>
        </w:tabs>
        <w:spacing w:line="360" w:lineRule="auto"/>
        <w:jc w:val="left"/>
        <w:rPr>
          <w:rFonts w:ascii="宋体" w:hAnsi="宋体" w:cs="宋体"/>
          <w:sz w:val="28"/>
          <w:szCs w:val="28"/>
        </w:rPr>
      </w:pPr>
      <w:r>
        <w:rPr>
          <w:rFonts w:hint="eastAsia" w:ascii="宋体" w:hAnsi="宋体" w:cs="宋体"/>
          <w:sz w:val="28"/>
          <w:szCs w:val="28"/>
        </w:rPr>
        <w:t>附件</w:t>
      </w:r>
      <w:r>
        <w:rPr>
          <w:rFonts w:hint="eastAsia" w:ascii="宋体" w:hAnsi="宋体" w:cs="仿宋"/>
          <w:sz w:val="28"/>
          <w:szCs w:val="28"/>
        </w:rPr>
        <w:t>6、组织机构代码证。</w:t>
      </w:r>
    </w:p>
    <w:p>
      <w:pPr>
        <w:spacing w:line="360" w:lineRule="auto"/>
        <w:rPr>
          <w:rFonts w:ascii="宋体" w:hAnsi="宋体"/>
          <w:sz w:val="28"/>
          <w:szCs w:val="28"/>
        </w:rPr>
      </w:pPr>
      <w:r>
        <w:rPr>
          <w:rFonts w:hint="eastAsia" w:ascii="宋体" w:hAnsi="宋体"/>
          <w:sz w:val="28"/>
          <w:szCs w:val="28"/>
        </w:rPr>
        <w:t>附件7：法定代表人身份证复印件。</w:t>
      </w:r>
    </w:p>
    <w:p>
      <w:pPr>
        <w:spacing w:line="360" w:lineRule="auto"/>
        <w:rPr>
          <w:rFonts w:ascii="宋体" w:hAnsi="宋体"/>
          <w:sz w:val="28"/>
          <w:szCs w:val="28"/>
        </w:rPr>
      </w:pPr>
      <w:r>
        <w:rPr>
          <w:rFonts w:hint="eastAsia" w:ascii="宋体" w:hAnsi="宋体"/>
          <w:sz w:val="28"/>
          <w:szCs w:val="28"/>
        </w:rPr>
        <w:t>附件8：投标代表身份证复印件。</w:t>
      </w:r>
    </w:p>
    <w:p>
      <w:pPr>
        <w:tabs>
          <w:tab w:val="left" w:pos="900"/>
        </w:tabs>
        <w:spacing w:line="360" w:lineRule="auto"/>
        <w:jc w:val="left"/>
        <w:rPr>
          <w:rFonts w:ascii="宋体" w:hAnsi="宋体" w:cs="宋体"/>
          <w:bCs/>
          <w:kern w:val="0"/>
          <w:sz w:val="28"/>
          <w:szCs w:val="28"/>
        </w:rPr>
      </w:pPr>
      <w:r>
        <w:rPr>
          <w:rFonts w:hint="eastAsia" w:ascii="宋体" w:hAnsi="宋体"/>
          <w:sz w:val="28"/>
          <w:szCs w:val="28"/>
        </w:rPr>
        <w:t>附件9、技术评分证明资料</w:t>
      </w:r>
    </w:p>
    <w:p>
      <w:pPr>
        <w:tabs>
          <w:tab w:val="left" w:pos="900"/>
        </w:tabs>
        <w:spacing w:line="360" w:lineRule="auto"/>
        <w:jc w:val="left"/>
        <w:rPr>
          <w:rFonts w:ascii="宋体" w:hAnsi="宋体" w:cs="宋体"/>
          <w:sz w:val="28"/>
          <w:szCs w:val="28"/>
        </w:rPr>
      </w:pPr>
      <w:r>
        <w:rPr>
          <w:rFonts w:hint="eastAsia" w:ascii="宋体" w:hAnsi="宋体"/>
          <w:sz w:val="28"/>
          <w:szCs w:val="28"/>
        </w:rPr>
        <w:t>附件</w:t>
      </w:r>
      <w:r>
        <w:rPr>
          <w:rFonts w:hint="eastAsia" w:ascii="宋体" w:hAnsi="宋体" w:cs="宋体"/>
          <w:sz w:val="28"/>
          <w:szCs w:val="28"/>
        </w:rPr>
        <w:t>10、商务评分证明资料</w:t>
      </w:r>
    </w:p>
    <w:p>
      <w:pPr>
        <w:tabs>
          <w:tab w:val="left" w:pos="900"/>
        </w:tabs>
        <w:spacing w:line="360" w:lineRule="auto"/>
        <w:jc w:val="left"/>
      </w:pPr>
      <w:r>
        <w:rPr>
          <w:rFonts w:hint="eastAsia" w:ascii="宋体" w:hAnsi="宋体"/>
          <w:sz w:val="28"/>
          <w:szCs w:val="28"/>
        </w:rPr>
        <w:t>附件</w:t>
      </w:r>
      <w:r>
        <w:rPr>
          <w:rFonts w:hint="eastAsia" w:ascii="宋体" w:hAnsi="宋体" w:cs="宋体"/>
          <w:sz w:val="28"/>
          <w:szCs w:val="28"/>
        </w:rPr>
        <w:t>11、供应商认为需提交的其它资料</w:t>
      </w:r>
      <w:bookmarkStart w:id="3" w:name="_GoBack"/>
      <w:bookmarkEnd w:id="3"/>
    </w:p>
    <w:sectPr>
      <w:pgSz w:w="11907" w:h="16840"/>
      <w:pgMar w:top="1418" w:right="1418" w:bottom="1418" w:left="1418" w:header="567" w:footer="992" w:gutter="0"/>
      <w:pgNumType w:fmt="numberInDash"/>
      <w:cols w:space="720" w:num="1"/>
      <w:docGrid w:type="lines" w:linePitch="323" w:charSpace="-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53830"/>
    </w:sdtPr>
    <w:sdtContent>
      <w:p>
        <w:pPr>
          <w:pStyle w:val="8"/>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8"/>
      <w:tabs>
        <w:tab w:val="left" w:pos="8715"/>
        <w:tab w:val="clear" w:pos="8306"/>
      </w:tabs>
      <w:ind w:right="360"/>
      <w:jc w:val="center"/>
      <w:rPr>
        <w:vertAlign w:val="superscri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fldChar w:fldCharType="begin"/>
    </w:r>
    <w:r>
      <w:rPr>
        <w:rStyle w:val="14"/>
      </w:rPr>
      <w:instrText xml:space="preserve">PAGE  </w:instrText>
    </w:r>
    <w:r>
      <w:fldChar w:fldCharType="separate"/>
    </w:r>
    <w:r>
      <w:rPr>
        <w:rStyle w:val="14"/>
      </w:rPr>
      <w:t>8</w: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2"/>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29FF304"/>
    <w:multiLevelType w:val="singleLevel"/>
    <w:tmpl w:val="529FF304"/>
    <w:lvl w:ilvl="0" w:tentative="0">
      <w:start w:val="1"/>
      <w:numFmt w:val="decimal"/>
      <w:suff w:val="nothing"/>
      <w:lvlText w:val="（%1）"/>
      <w:lvlJc w:val="left"/>
    </w:lvl>
  </w:abstractNum>
  <w:abstractNum w:abstractNumId="2">
    <w:nsid w:val="5718DE82"/>
    <w:multiLevelType w:val="singleLevel"/>
    <w:tmpl w:val="5718DE82"/>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NlYTIyZmI3NGE1NmY5MjcwMmFlM2JiYzIyODZiYTQifQ=="/>
  </w:docVars>
  <w:rsids>
    <w:rsidRoot w:val="000C211C"/>
    <w:rsid w:val="00006730"/>
    <w:rsid w:val="00014D4E"/>
    <w:rsid w:val="00015781"/>
    <w:rsid w:val="00020E5D"/>
    <w:rsid w:val="00021B48"/>
    <w:rsid w:val="00040337"/>
    <w:rsid w:val="0004341D"/>
    <w:rsid w:val="00050888"/>
    <w:rsid w:val="00054EC6"/>
    <w:rsid w:val="00061E21"/>
    <w:rsid w:val="00066BF4"/>
    <w:rsid w:val="000717D9"/>
    <w:rsid w:val="000800C9"/>
    <w:rsid w:val="000A7BB1"/>
    <w:rsid w:val="000B4CE1"/>
    <w:rsid w:val="000C0531"/>
    <w:rsid w:val="000C1B6C"/>
    <w:rsid w:val="000C211C"/>
    <w:rsid w:val="000F0D53"/>
    <w:rsid w:val="000F3871"/>
    <w:rsid w:val="000F5070"/>
    <w:rsid w:val="00116159"/>
    <w:rsid w:val="001213A4"/>
    <w:rsid w:val="00135827"/>
    <w:rsid w:val="001515AB"/>
    <w:rsid w:val="001522C0"/>
    <w:rsid w:val="001556B5"/>
    <w:rsid w:val="0017060A"/>
    <w:rsid w:val="0017228E"/>
    <w:rsid w:val="001811E5"/>
    <w:rsid w:val="00186AC3"/>
    <w:rsid w:val="001877F9"/>
    <w:rsid w:val="00194BCD"/>
    <w:rsid w:val="001A164C"/>
    <w:rsid w:val="001A564C"/>
    <w:rsid w:val="001B3CA7"/>
    <w:rsid w:val="001B7740"/>
    <w:rsid w:val="001D3BD2"/>
    <w:rsid w:val="001D7816"/>
    <w:rsid w:val="001E0AEC"/>
    <w:rsid w:val="00207ACB"/>
    <w:rsid w:val="0021023B"/>
    <w:rsid w:val="0021343B"/>
    <w:rsid w:val="002135BE"/>
    <w:rsid w:val="0022604E"/>
    <w:rsid w:val="00232048"/>
    <w:rsid w:val="00233C5F"/>
    <w:rsid w:val="002463CB"/>
    <w:rsid w:val="00254A6D"/>
    <w:rsid w:val="0026147F"/>
    <w:rsid w:val="00277558"/>
    <w:rsid w:val="00283F22"/>
    <w:rsid w:val="00284080"/>
    <w:rsid w:val="0029122E"/>
    <w:rsid w:val="00292119"/>
    <w:rsid w:val="0029376F"/>
    <w:rsid w:val="00297C28"/>
    <w:rsid w:val="002A0366"/>
    <w:rsid w:val="002A157E"/>
    <w:rsid w:val="002A472A"/>
    <w:rsid w:val="002A7A63"/>
    <w:rsid w:val="002B3848"/>
    <w:rsid w:val="002C10E0"/>
    <w:rsid w:val="002D1AF9"/>
    <w:rsid w:val="002D4A1C"/>
    <w:rsid w:val="002E0C52"/>
    <w:rsid w:val="002E2388"/>
    <w:rsid w:val="002E7295"/>
    <w:rsid w:val="002F7FC3"/>
    <w:rsid w:val="00301997"/>
    <w:rsid w:val="00304919"/>
    <w:rsid w:val="00305C07"/>
    <w:rsid w:val="003119E7"/>
    <w:rsid w:val="0031416A"/>
    <w:rsid w:val="00317B8C"/>
    <w:rsid w:val="003200C3"/>
    <w:rsid w:val="00320D27"/>
    <w:rsid w:val="00321DE7"/>
    <w:rsid w:val="003262F3"/>
    <w:rsid w:val="00347EAD"/>
    <w:rsid w:val="0035065F"/>
    <w:rsid w:val="0035633B"/>
    <w:rsid w:val="00361051"/>
    <w:rsid w:val="0036118D"/>
    <w:rsid w:val="00370642"/>
    <w:rsid w:val="00392B0F"/>
    <w:rsid w:val="00392F56"/>
    <w:rsid w:val="003B0230"/>
    <w:rsid w:val="003C418B"/>
    <w:rsid w:val="003D63DC"/>
    <w:rsid w:val="003F596D"/>
    <w:rsid w:val="00400219"/>
    <w:rsid w:val="004045C5"/>
    <w:rsid w:val="0040582D"/>
    <w:rsid w:val="00413B85"/>
    <w:rsid w:val="00416CC2"/>
    <w:rsid w:val="00427348"/>
    <w:rsid w:val="0045110C"/>
    <w:rsid w:val="0045539F"/>
    <w:rsid w:val="00456000"/>
    <w:rsid w:val="00460F17"/>
    <w:rsid w:val="004631F2"/>
    <w:rsid w:val="004650D6"/>
    <w:rsid w:val="0047084B"/>
    <w:rsid w:val="00475F32"/>
    <w:rsid w:val="004800C6"/>
    <w:rsid w:val="00490394"/>
    <w:rsid w:val="004928BF"/>
    <w:rsid w:val="004A2435"/>
    <w:rsid w:val="004A26B4"/>
    <w:rsid w:val="004A5340"/>
    <w:rsid w:val="004C0031"/>
    <w:rsid w:val="004C19D8"/>
    <w:rsid w:val="004D32E6"/>
    <w:rsid w:val="004E139C"/>
    <w:rsid w:val="004E2255"/>
    <w:rsid w:val="004E3E4D"/>
    <w:rsid w:val="004E7F41"/>
    <w:rsid w:val="00500351"/>
    <w:rsid w:val="00500703"/>
    <w:rsid w:val="005028D1"/>
    <w:rsid w:val="00505E20"/>
    <w:rsid w:val="00506144"/>
    <w:rsid w:val="00506D98"/>
    <w:rsid w:val="00514AE7"/>
    <w:rsid w:val="00520936"/>
    <w:rsid w:val="00535D22"/>
    <w:rsid w:val="00541E95"/>
    <w:rsid w:val="00555FCE"/>
    <w:rsid w:val="00566178"/>
    <w:rsid w:val="00577666"/>
    <w:rsid w:val="00593623"/>
    <w:rsid w:val="00593A48"/>
    <w:rsid w:val="00596EFB"/>
    <w:rsid w:val="005A0AC6"/>
    <w:rsid w:val="005B093F"/>
    <w:rsid w:val="005B165E"/>
    <w:rsid w:val="005B1E88"/>
    <w:rsid w:val="005C718A"/>
    <w:rsid w:val="005C78F1"/>
    <w:rsid w:val="005D2ACF"/>
    <w:rsid w:val="005D3015"/>
    <w:rsid w:val="005D7332"/>
    <w:rsid w:val="005E0B00"/>
    <w:rsid w:val="005F232B"/>
    <w:rsid w:val="0060792B"/>
    <w:rsid w:val="00622EC4"/>
    <w:rsid w:val="006263F3"/>
    <w:rsid w:val="00626BCF"/>
    <w:rsid w:val="00636F8C"/>
    <w:rsid w:val="00641A57"/>
    <w:rsid w:val="00651C21"/>
    <w:rsid w:val="006572D7"/>
    <w:rsid w:val="0068313F"/>
    <w:rsid w:val="006A04C3"/>
    <w:rsid w:val="006B517F"/>
    <w:rsid w:val="006D219F"/>
    <w:rsid w:val="006E7D96"/>
    <w:rsid w:val="006F586B"/>
    <w:rsid w:val="007161DC"/>
    <w:rsid w:val="00722871"/>
    <w:rsid w:val="00737787"/>
    <w:rsid w:val="00745366"/>
    <w:rsid w:val="007532A4"/>
    <w:rsid w:val="00756656"/>
    <w:rsid w:val="00756A6F"/>
    <w:rsid w:val="00760E2F"/>
    <w:rsid w:val="00767086"/>
    <w:rsid w:val="00767FDB"/>
    <w:rsid w:val="0077744B"/>
    <w:rsid w:val="00783506"/>
    <w:rsid w:val="00783CC2"/>
    <w:rsid w:val="00785521"/>
    <w:rsid w:val="007861E6"/>
    <w:rsid w:val="00786CC2"/>
    <w:rsid w:val="00787E75"/>
    <w:rsid w:val="0079101E"/>
    <w:rsid w:val="007939EB"/>
    <w:rsid w:val="00793A66"/>
    <w:rsid w:val="007A7432"/>
    <w:rsid w:val="007B05F3"/>
    <w:rsid w:val="007C2365"/>
    <w:rsid w:val="007C7F20"/>
    <w:rsid w:val="007D5E62"/>
    <w:rsid w:val="007D666B"/>
    <w:rsid w:val="007E4DDB"/>
    <w:rsid w:val="007F1849"/>
    <w:rsid w:val="007F2218"/>
    <w:rsid w:val="007F2D61"/>
    <w:rsid w:val="007F50F3"/>
    <w:rsid w:val="007F7DAC"/>
    <w:rsid w:val="00804C0C"/>
    <w:rsid w:val="00806181"/>
    <w:rsid w:val="00817E20"/>
    <w:rsid w:val="008403C4"/>
    <w:rsid w:val="00843554"/>
    <w:rsid w:val="00852753"/>
    <w:rsid w:val="00853249"/>
    <w:rsid w:val="008702DE"/>
    <w:rsid w:val="00886AC5"/>
    <w:rsid w:val="008924E9"/>
    <w:rsid w:val="008A1B0A"/>
    <w:rsid w:val="008B5EAC"/>
    <w:rsid w:val="008C1E55"/>
    <w:rsid w:val="008C668D"/>
    <w:rsid w:val="008C7A1A"/>
    <w:rsid w:val="008D0CE6"/>
    <w:rsid w:val="008D70AF"/>
    <w:rsid w:val="008E4DB4"/>
    <w:rsid w:val="009139C6"/>
    <w:rsid w:val="00917EE1"/>
    <w:rsid w:val="009220F0"/>
    <w:rsid w:val="00952AB6"/>
    <w:rsid w:val="00962755"/>
    <w:rsid w:val="0097010D"/>
    <w:rsid w:val="00972F93"/>
    <w:rsid w:val="00974C30"/>
    <w:rsid w:val="0097696E"/>
    <w:rsid w:val="009772B9"/>
    <w:rsid w:val="00981542"/>
    <w:rsid w:val="00992379"/>
    <w:rsid w:val="00992929"/>
    <w:rsid w:val="00993D62"/>
    <w:rsid w:val="009947CE"/>
    <w:rsid w:val="009A13AD"/>
    <w:rsid w:val="009A19B8"/>
    <w:rsid w:val="009B538B"/>
    <w:rsid w:val="009B5F3E"/>
    <w:rsid w:val="009C4994"/>
    <w:rsid w:val="009D6695"/>
    <w:rsid w:val="009D7204"/>
    <w:rsid w:val="009F1771"/>
    <w:rsid w:val="00A00901"/>
    <w:rsid w:val="00A064D2"/>
    <w:rsid w:val="00A12330"/>
    <w:rsid w:val="00A12EDB"/>
    <w:rsid w:val="00A2217D"/>
    <w:rsid w:val="00A31FE3"/>
    <w:rsid w:val="00A37945"/>
    <w:rsid w:val="00A45FE3"/>
    <w:rsid w:val="00A536AB"/>
    <w:rsid w:val="00A53A14"/>
    <w:rsid w:val="00A55CDB"/>
    <w:rsid w:val="00A62891"/>
    <w:rsid w:val="00A9362D"/>
    <w:rsid w:val="00AA59D3"/>
    <w:rsid w:val="00AA5EDC"/>
    <w:rsid w:val="00AA70E1"/>
    <w:rsid w:val="00AA719B"/>
    <w:rsid w:val="00AB0CED"/>
    <w:rsid w:val="00AB30F5"/>
    <w:rsid w:val="00AB38EA"/>
    <w:rsid w:val="00AC1768"/>
    <w:rsid w:val="00AC3BC0"/>
    <w:rsid w:val="00AC43A3"/>
    <w:rsid w:val="00AD36A6"/>
    <w:rsid w:val="00AE1253"/>
    <w:rsid w:val="00AE1C0B"/>
    <w:rsid w:val="00AF1F99"/>
    <w:rsid w:val="00B02E39"/>
    <w:rsid w:val="00B032BB"/>
    <w:rsid w:val="00B2433D"/>
    <w:rsid w:val="00B307A5"/>
    <w:rsid w:val="00B311AA"/>
    <w:rsid w:val="00B31B24"/>
    <w:rsid w:val="00B35608"/>
    <w:rsid w:val="00B35945"/>
    <w:rsid w:val="00B43FFA"/>
    <w:rsid w:val="00B46141"/>
    <w:rsid w:val="00B517F7"/>
    <w:rsid w:val="00B52933"/>
    <w:rsid w:val="00B6168D"/>
    <w:rsid w:val="00B61DA2"/>
    <w:rsid w:val="00B622E8"/>
    <w:rsid w:val="00B629A6"/>
    <w:rsid w:val="00B63BF6"/>
    <w:rsid w:val="00B70172"/>
    <w:rsid w:val="00B70A54"/>
    <w:rsid w:val="00B812D8"/>
    <w:rsid w:val="00B955E0"/>
    <w:rsid w:val="00B96EDC"/>
    <w:rsid w:val="00BA0152"/>
    <w:rsid w:val="00BA0505"/>
    <w:rsid w:val="00BA0906"/>
    <w:rsid w:val="00BA7B52"/>
    <w:rsid w:val="00BB1322"/>
    <w:rsid w:val="00BB3065"/>
    <w:rsid w:val="00BC7EC8"/>
    <w:rsid w:val="00BF0E28"/>
    <w:rsid w:val="00BF1923"/>
    <w:rsid w:val="00BF1959"/>
    <w:rsid w:val="00BF2EFD"/>
    <w:rsid w:val="00C04DB4"/>
    <w:rsid w:val="00C06BD0"/>
    <w:rsid w:val="00C15309"/>
    <w:rsid w:val="00C23F19"/>
    <w:rsid w:val="00C30BA0"/>
    <w:rsid w:val="00C47BEF"/>
    <w:rsid w:val="00C51E60"/>
    <w:rsid w:val="00C55263"/>
    <w:rsid w:val="00C55C81"/>
    <w:rsid w:val="00C602F4"/>
    <w:rsid w:val="00C61A7D"/>
    <w:rsid w:val="00C7197D"/>
    <w:rsid w:val="00C71C4A"/>
    <w:rsid w:val="00C743CB"/>
    <w:rsid w:val="00C76A17"/>
    <w:rsid w:val="00C80722"/>
    <w:rsid w:val="00C828A7"/>
    <w:rsid w:val="00C82AA7"/>
    <w:rsid w:val="00C9028D"/>
    <w:rsid w:val="00C919E9"/>
    <w:rsid w:val="00C95E27"/>
    <w:rsid w:val="00CA6EA9"/>
    <w:rsid w:val="00CB3159"/>
    <w:rsid w:val="00CB61EF"/>
    <w:rsid w:val="00CB719E"/>
    <w:rsid w:val="00CC6BF8"/>
    <w:rsid w:val="00CD147C"/>
    <w:rsid w:val="00CD3BDA"/>
    <w:rsid w:val="00CD3E72"/>
    <w:rsid w:val="00CD4C06"/>
    <w:rsid w:val="00CE24F8"/>
    <w:rsid w:val="00CF26D3"/>
    <w:rsid w:val="00D03818"/>
    <w:rsid w:val="00D11348"/>
    <w:rsid w:val="00D3256F"/>
    <w:rsid w:val="00D502C7"/>
    <w:rsid w:val="00D5215A"/>
    <w:rsid w:val="00D57CB7"/>
    <w:rsid w:val="00D65C3C"/>
    <w:rsid w:val="00D66978"/>
    <w:rsid w:val="00D673ED"/>
    <w:rsid w:val="00D67EEF"/>
    <w:rsid w:val="00D8016E"/>
    <w:rsid w:val="00D94C85"/>
    <w:rsid w:val="00D9570E"/>
    <w:rsid w:val="00D959BB"/>
    <w:rsid w:val="00DB1B70"/>
    <w:rsid w:val="00DB3BA3"/>
    <w:rsid w:val="00DB530B"/>
    <w:rsid w:val="00DB5870"/>
    <w:rsid w:val="00DD21CF"/>
    <w:rsid w:val="00DD362F"/>
    <w:rsid w:val="00DE41DC"/>
    <w:rsid w:val="00DF0487"/>
    <w:rsid w:val="00DF5E7D"/>
    <w:rsid w:val="00E07557"/>
    <w:rsid w:val="00E13543"/>
    <w:rsid w:val="00E163F6"/>
    <w:rsid w:val="00E20027"/>
    <w:rsid w:val="00E22CBE"/>
    <w:rsid w:val="00E257A2"/>
    <w:rsid w:val="00E25D26"/>
    <w:rsid w:val="00E36F28"/>
    <w:rsid w:val="00E52F63"/>
    <w:rsid w:val="00E55BD1"/>
    <w:rsid w:val="00E568B4"/>
    <w:rsid w:val="00E62DD7"/>
    <w:rsid w:val="00E71213"/>
    <w:rsid w:val="00E74E17"/>
    <w:rsid w:val="00E773BA"/>
    <w:rsid w:val="00E90A7A"/>
    <w:rsid w:val="00EA21EA"/>
    <w:rsid w:val="00EB011B"/>
    <w:rsid w:val="00EB5AD0"/>
    <w:rsid w:val="00EB5E8D"/>
    <w:rsid w:val="00EC1C84"/>
    <w:rsid w:val="00EC26B4"/>
    <w:rsid w:val="00ED4F26"/>
    <w:rsid w:val="00ED5EA5"/>
    <w:rsid w:val="00F051DD"/>
    <w:rsid w:val="00F07538"/>
    <w:rsid w:val="00F12D47"/>
    <w:rsid w:val="00F13620"/>
    <w:rsid w:val="00F238E8"/>
    <w:rsid w:val="00F30972"/>
    <w:rsid w:val="00F36494"/>
    <w:rsid w:val="00F4703E"/>
    <w:rsid w:val="00F554CB"/>
    <w:rsid w:val="00F715EB"/>
    <w:rsid w:val="00F83EE2"/>
    <w:rsid w:val="00F84B9A"/>
    <w:rsid w:val="00F9264F"/>
    <w:rsid w:val="00FA1C24"/>
    <w:rsid w:val="00FB2768"/>
    <w:rsid w:val="00FC5489"/>
    <w:rsid w:val="00FD6EF4"/>
    <w:rsid w:val="00FE0262"/>
    <w:rsid w:val="00FF1C64"/>
    <w:rsid w:val="00FF430E"/>
    <w:rsid w:val="00FF5692"/>
    <w:rsid w:val="027A5FAF"/>
    <w:rsid w:val="17731825"/>
    <w:rsid w:val="3C7361F0"/>
    <w:rsid w:val="61EA224D"/>
    <w:rsid w:val="78043B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3"/>
    <w:qFormat/>
    <w:uiPriority w:val="0"/>
    <w:pPr>
      <w:ind w:firstLine="420"/>
    </w:pPr>
    <w:rPr>
      <w:szCs w:val="24"/>
    </w:rPr>
  </w:style>
  <w:style w:type="paragraph" w:styleId="3">
    <w:name w:val="annotation text"/>
    <w:basedOn w:val="1"/>
    <w:semiHidden/>
    <w:unhideWhenUsed/>
    <w:qFormat/>
    <w:uiPriority w:val="99"/>
    <w:pPr>
      <w:jc w:val="left"/>
    </w:pPr>
  </w:style>
  <w:style w:type="paragraph" w:styleId="4">
    <w:name w:val="Body Text"/>
    <w:basedOn w:val="1"/>
    <w:link w:val="28"/>
    <w:qFormat/>
    <w:uiPriority w:val="0"/>
    <w:pPr>
      <w:spacing w:after="120"/>
    </w:pPr>
    <w:rPr>
      <w:rFonts w:asciiTheme="minorHAnsi" w:hAnsiTheme="minorHAnsi" w:cstheme="minorBidi"/>
      <w:szCs w:val="24"/>
    </w:rPr>
  </w:style>
  <w:style w:type="paragraph" w:styleId="5">
    <w:name w:val="Body Text Indent"/>
    <w:basedOn w:val="1"/>
    <w:link w:val="20"/>
    <w:qFormat/>
    <w:uiPriority w:val="0"/>
    <w:pPr>
      <w:spacing w:line="420" w:lineRule="exact"/>
      <w:ind w:firstLine="480" w:firstLineChars="200"/>
    </w:pPr>
    <w:rPr>
      <w:rFonts w:ascii="仿宋_GB2312" w:hAnsi="宋体" w:eastAsia="仿宋_GB2312"/>
      <w:sz w:val="24"/>
      <w:szCs w:val="28"/>
    </w:rPr>
  </w:style>
  <w:style w:type="paragraph" w:styleId="6">
    <w:name w:val="Plain Text"/>
    <w:basedOn w:val="1"/>
    <w:link w:val="21"/>
    <w:qFormat/>
    <w:uiPriority w:val="0"/>
    <w:rPr>
      <w:rFonts w:ascii="宋体" w:hAnsi="Courier New"/>
      <w:szCs w:val="24"/>
    </w:rPr>
  </w:style>
  <w:style w:type="paragraph" w:styleId="7">
    <w:name w:val="Balloon Text"/>
    <w:basedOn w:val="1"/>
    <w:link w:val="30"/>
    <w:semiHidden/>
    <w:unhideWhenUsed/>
    <w:qFormat/>
    <w:uiPriority w:val="99"/>
    <w:rPr>
      <w:sz w:val="18"/>
      <w:szCs w:val="18"/>
    </w:rPr>
  </w:style>
  <w:style w:type="paragraph" w:styleId="8">
    <w:name w:val="footer"/>
    <w:basedOn w:val="1"/>
    <w:link w:val="18"/>
    <w:qFormat/>
    <w:uiPriority w:val="99"/>
    <w:pPr>
      <w:tabs>
        <w:tab w:val="center" w:pos="4153"/>
        <w:tab w:val="right" w:pos="8306"/>
      </w:tabs>
      <w:snapToGrid w:val="0"/>
      <w:jc w:val="left"/>
    </w:pPr>
    <w:rPr>
      <w:rFonts w:ascii="Times New Roman" w:hAnsi="Times New Roman" w:eastAsia="仿宋_GB2312"/>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rFonts w:ascii="Times New Roman" w:hAnsi="Times New Roman" w:eastAsia="仿宋_GB2312"/>
      <w:sz w:val="18"/>
      <w:szCs w:val="18"/>
    </w:rPr>
  </w:style>
  <w:style w:type="paragraph" w:styleId="10">
    <w:name w:val="Normal (Web)"/>
    <w:basedOn w:val="1"/>
    <w:link w:val="29"/>
    <w:qFormat/>
    <w:uiPriority w:val="99"/>
    <w:pPr>
      <w:widowControl/>
      <w:spacing w:before="100" w:beforeAutospacing="1" w:after="100" w:afterAutospacing="1"/>
      <w:jc w:val="left"/>
    </w:pPr>
    <w:rPr>
      <w:rFonts w:ascii="宋体" w:hAnsi="宋体" w:cstheme="minorBidi"/>
      <w:sz w:val="24"/>
      <w:szCs w:val="24"/>
      <w:lang w:val="en-GB"/>
    </w:rPr>
  </w:style>
  <w:style w:type="character" w:styleId="13">
    <w:name w:val="Strong"/>
    <w:basedOn w:val="12"/>
    <w:qFormat/>
    <w:uiPriority w:val="0"/>
    <w:rPr>
      <w:b/>
    </w:rPr>
  </w:style>
  <w:style w:type="character" w:styleId="14">
    <w:name w:val="page number"/>
    <w:qFormat/>
    <w:uiPriority w:val="0"/>
  </w:style>
  <w:style w:type="character" w:styleId="15">
    <w:name w:val="Emphasis"/>
    <w:basedOn w:val="12"/>
    <w:qFormat/>
    <w:uiPriority w:val="20"/>
    <w:rPr>
      <w:i/>
      <w:iCs/>
    </w:rPr>
  </w:style>
  <w:style w:type="character" w:styleId="16">
    <w:name w:val="Hyperlink"/>
    <w:qFormat/>
    <w:uiPriority w:val="0"/>
    <w:rPr>
      <w:color w:val="0000FF"/>
      <w:u w:val="single"/>
    </w:rPr>
  </w:style>
  <w:style w:type="character" w:styleId="17">
    <w:name w:val="annotation reference"/>
    <w:basedOn w:val="12"/>
    <w:semiHidden/>
    <w:unhideWhenUsed/>
    <w:qFormat/>
    <w:uiPriority w:val="99"/>
    <w:rPr>
      <w:sz w:val="21"/>
      <w:szCs w:val="21"/>
    </w:rPr>
  </w:style>
  <w:style w:type="character" w:customStyle="1" w:styleId="18">
    <w:name w:val="页脚 Char"/>
    <w:basedOn w:val="12"/>
    <w:link w:val="8"/>
    <w:qFormat/>
    <w:uiPriority w:val="99"/>
    <w:rPr>
      <w:rFonts w:ascii="Times New Roman" w:hAnsi="Times New Roman" w:eastAsia="仿宋_GB2312" w:cs="Times New Roman"/>
      <w:sz w:val="18"/>
      <w:szCs w:val="18"/>
    </w:rPr>
  </w:style>
  <w:style w:type="character" w:customStyle="1" w:styleId="19">
    <w:name w:val="页眉 Char"/>
    <w:basedOn w:val="12"/>
    <w:link w:val="9"/>
    <w:qFormat/>
    <w:uiPriority w:val="0"/>
    <w:rPr>
      <w:rFonts w:ascii="Times New Roman" w:hAnsi="Times New Roman" w:eastAsia="仿宋_GB2312" w:cs="Times New Roman"/>
      <w:sz w:val="18"/>
      <w:szCs w:val="18"/>
    </w:rPr>
  </w:style>
  <w:style w:type="character" w:customStyle="1" w:styleId="20">
    <w:name w:val="正文文本缩进 Char"/>
    <w:basedOn w:val="12"/>
    <w:link w:val="5"/>
    <w:qFormat/>
    <w:uiPriority w:val="0"/>
    <w:rPr>
      <w:rFonts w:ascii="仿宋_GB2312" w:hAnsi="宋体" w:eastAsia="仿宋_GB2312" w:cs="Times New Roman"/>
      <w:sz w:val="24"/>
      <w:szCs w:val="28"/>
    </w:rPr>
  </w:style>
  <w:style w:type="character" w:customStyle="1" w:styleId="21">
    <w:name w:val="纯文本 Char"/>
    <w:basedOn w:val="12"/>
    <w:link w:val="6"/>
    <w:qFormat/>
    <w:uiPriority w:val="0"/>
    <w:rPr>
      <w:rFonts w:ascii="宋体" w:hAnsi="Courier New" w:eastAsia="宋体" w:cs="Times New Roman"/>
      <w:szCs w:val="24"/>
    </w:rPr>
  </w:style>
  <w:style w:type="paragraph" w:customStyle="1" w:styleId="22">
    <w:name w:val="p16"/>
    <w:qFormat/>
    <w:uiPriority w:val="0"/>
    <w:pPr>
      <w:jc w:val="both"/>
    </w:pPr>
    <w:rPr>
      <w:rFonts w:ascii="宋体" w:hAnsi="Times New Roman" w:eastAsia="宋体" w:cs="宋体"/>
      <w:lang w:val="en-US" w:eastAsia="zh-CN" w:bidi="ar-SA"/>
    </w:rPr>
  </w:style>
  <w:style w:type="character" w:customStyle="1" w:styleId="23">
    <w:name w:val="正文缩进 Char"/>
    <w:link w:val="2"/>
    <w:qFormat/>
    <w:uiPriority w:val="0"/>
    <w:rPr>
      <w:rFonts w:ascii="Calibri" w:hAnsi="Calibri" w:eastAsia="宋体" w:cs="Times New Roman"/>
      <w:szCs w:val="24"/>
    </w:rPr>
  </w:style>
  <w:style w:type="paragraph" w:customStyle="1" w:styleId="2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25">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26">
    <w:name w:val="bulletintext1"/>
    <w:basedOn w:val="12"/>
    <w:qFormat/>
    <w:uiPriority w:val="0"/>
    <w:rPr>
      <w:color w:val="000000"/>
      <w:sz w:val="19"/>
      <w:szCs w:val="19"/>
    </w:rPr>
  </w:style>
  <w:style w:type="paragraph" w:customStyle="1" w:styleId="27">
    <w:name w:val="List Paragraph1"/>
    <w:basedOn w:val="1"/>
    <w:qFormat/>
    <w:uiPriority w:val="0"/>
    <w:pPr>
      <w:ind w:firstLine="420" w:firstLineChars="200"/>
    </w:pPr>
  </w:style>
  <w:style w:type="character" w:customStyle="1" w:styleId="28">
    <w:name w:val="正文文本 Char"/>
    <w:basedOn w:val="12"/>
    <w:link w:val="4"/>
    <w:qFormat/>
    <w:uiPriority w:val="0"/>
    <w:rPr>
      <w:rFonts w:eastAsia="宋体"/>
      <w:szCs w:val="24"/>
    </w:rPr>
  </w:style>
  <w:style w:type="character" w:customStyle="1" w:styleId="29">
    <w:name w:val="普通(网站) Char"/>
    <w:link w:val="10"/>
    <w:qFormat/>
    <w:uiPriority w:val="99"/>
    <w:rPr>
      <w:rFonts w:ascii="宋体" w:hAnsi="宋体" w:eastAsia="宋体"/>
      <w:sz w:val="24"/>
      <w:szCs w:val="24"/>
      <w:lang w:val="en-GB"/>
    </w:rPr>
  </w:style>
  <w:style w:type="character" w:customStyle="1" w:styleId="30">
    <w:name w:val="批注框文本 Char"/>
    <w:basedOn w:val="12"/>
    <w:link w:val="7"/>
    <w:semiHidden/>
    <w:qFormat/>
    <w:uiPriority w:val="99"/>
    <w:rPr>
      <w:rFonts w:ascii="Calibri" w:hAnsi="Calibri" w:eastAsia="宋体" w:cs="Times New Roman"/>
      <w:sz w:val="18"/>
      <w:szCs w:val="18"/>
    </w:rPr>
  </w:style>
  <w:style w:type="paragraph" w:customStyle="1" w:styleId="31">
    <w:name w:val="修订1"/>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C26FF5-CF81-4161-9412-5192B8AFCD2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11183</Words>
  <Characters>11630</Characters>
  <Lines>91</Lines>
  <Paragraphs>25</Paragraphs>
  <TotalTime>11</TotalTime>
  <ScaleCrop>false</ScaleCrop>
  <LinksUpToDate>false</LinksUpToDate>
  <CharactersWithSpaces>12283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2023-02-17T07:24:00Z</dcterms:created>
  <dc:creator>lenovo</dc:creator>
  <cp:lastModifiedBy>li</cp:lastModifiedBy>
  <cp:lastPrinted>2022-12-08T08:34:00Z</cp:lastPrinted>
  <dcterms:modified xsi:type="dcterms:W3CDTF">2023-02-20T01:54:34Z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E41175E693D54B0881040279DF7E7F7E</vt:lpwstr>
  </property>
</Properties>
</file>